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p>
    <w:tbl>
      <w:tblPr>
        <w:tblStyle w:val="aa"/>
        <w:tblpPr w:leftFromText="180" w:rightFromText="180" w:horzAnchor="page" w:tblpX="737" w:tblpY="486"/>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Tr="008910A6">
        <w:tc>
          <w:tcPr>
            <w:tcW w:w="743" w:type="dxa"/>
          </w:tcPr>
          <w:p w:rsidR="0094424E" w:rsidRPr="008A59EE" w:rsidRDefault="0094424E" w:rsidP="008910A6">
            <w:pPr>
              <w:suppressLineNumbers/>
              <w:jc w:val="both"/>
              <w:rPr>
                <w:rFonts w:ascii="Arial" w:hAnsi="Arial"/>
                <w:b/>
                <w:bCs/>
                <w:sz w:val="26"/>
                <w:szCs w:val="26"/>
                <w:rtl/>
              </w:rPr>
            </w:pPr>
          </w:p>
        </w:tc>
        <w:tc>
          <w:tcPr>
            <w:tcW w:w="8077" w:type="dxa"/>
            <w:gridSpan w:val="2"/>
          </w:tcPr>
          <w:p w:rsidR="00007DE0" w:rsidRPr="008A59EE" w:rsidRDefault="00007DE0" w:rsidP="008910A6">
            <w:pPr>
              <w:suppressLineNumbers/>
              <w:rPr>
                <w:sz w:val="26"/>
                <w:szCs w:val="26"/>
              </w:rPr>
            </w:pPr>
          </w:p>
        </w:tc>
      </w:tr>
      <w:tr w:rsidR="0094424E" w:rsidTr="008910A6">
        <w:tc>
          <w:tcPr>
            <w:tcW w:w="3249" w:type="dxa"/>
            <w:gridSpan w:val="2"/>
          </w:tcPr>
          <w:p w:rsidR="005655AC" w:rsidRDefault="005655AC" w:rsidP="008910A6">
            <w:pPr>
              <w:suppressLineNumbers/>
              <w:rPr>
                <w:rFonts w:ascii="Arial" w:hAnsi="Arial"/>
                <w:b/>
                <w:bCs/>
                <w:noProof w:val="0"/>
                <w:sz w:val="26"/>
                <w:szCs w:val="26"/>
                <w:rtl/>
              </w:rPr>
            </w:pPr>
          </w:p>
        </w:tc>
        <w:tc>
          <w:tcPr>
            <w:tcW w:w="5571" w:type="dxa"/>
          </w:tcPr>
          <w:p w:rsidR="0094424E" w:rsidRDefault="0094424E" w:rsidP="008910A6">
            <w:pPr>
              <w:suppressLineNumbers/>
              <w:rPr>
                <w:b/>
                <w:bCs/>
                <w:noProof w:val="0"/>
                <w:sz w:val="26"/>
                <w:szCs w:val="26"/>
              </w:rPr>
            </w:pPr>
          </w:p>
        </w:tc>
      </w:tr>
      <w:tr w:rsidR="0094424E" w:rsidTr="008910A6">
        <w:tc>
          <w:tcPr>
            <w:tcW w:w="8820" w:type="dxa"/>
            <w:gridSpan w:val="3"/>
          </w:tcPr>
          <w:p w:rsidR="0094424E" w:rsidRDefault="0094424E" w:rsidP="008910A6">
            <w:pPr>
              <w:suppressLineNumbers/>
              <w:rPr>
                <w:rFonts w:ascii="Arial" w:hAnsi="Arial"/>
                <w:b/>
                <w:bCs/>
                <w:noProof w:val="0"/>
                <w:sz w:val="26"/>
                <w:szCs w:val="26"/>
              </w:rPr>
            </w:pPr>
            <w:bookmarkStart w:id="0" w:name="_GoBack"/>
            <w:bookmarkEnd w:id="0"/>
          </w:p>
        </w:tc>
      </w:tr>
      <w:tr w:rsidR="0094424E" w:rsidTr="008910A6">
        <w:tc>
          <w:tcPr>
            <w:tcW w:w="3249" w:type="dxa"/>
            <w:gridSpan w:val="2"/>
          </w:tcPr>
          <w:p w:rsidR="0094424E" w:rsidRDefault="0094424E" w:rsidP="008910A6">
            <w:pPr>
              <w:suppressLineNumbers/>
              <w:rPr>
                <w:rFonts w:ascii="Arial" w:hAnsi="Arial"/>
                <w:b/>
                <w:bCs/>
                <w:noProof w:val="0"/>
                <w:sz w:val="26"/>
                <w:szCs w:val="26"/>
              </w:rPr>
            </w:pPr>
          </w:p>
        </w:tc>
        <w:tc>
          <w:tcPr>
            <w:tcW w:w="5571" w:type="dxa"/>
          </w:tcPr>
          <w:p w:rsidR="00CF6BB7" w:rsidRPr="00CD516B" w:rsidRDefault="00CF6BB7" w:rsidP="008910A6">
            <w:pPr>
              <w:suppressLineNumbers/>
              <w:rPr>
                <w:rFonts w:ascii="Arial" w:hAnsi="Arial"/>
                <w:b/>
                <w:bCs/>
                <w:noProof w:val="0"/>
                <w:sz w:val="26"/>
                <w:szCs w:val="26"/>
                <w:rtl/>
              </w:rPr>
            </w:pPr>
          </w:p>
        </w:tc>
      </w:tr>
      <w:tr w:rsidR="00CF6BB7" w:rsidTr="008910A6">
        <w:tc>
          <w:tcPr>
            <w:tcW w:w="8820" w:type="dxa"/>
            <w:gridSpan w:val="3"/>
          </w:tcPr>
          <w:p w:rsidR="00CF6BB7" w:rsidRDefault="00CF6BB7" w:rsidP="008910A6">
            <w:pPr>
              <w:suppressLineNumbers/>
              <w:rPr>
                <w:rtl/>
              </w:rPr>
            </w:pPr>
          </w:p>
        </w:tc>
      </w:tr>
      <w:tr w:rsidR="00CF6BB7" w:rsidTr="008910A6">
        <w:tc>
          <w:tcPr>
            <w:tcW w:w="3249" w:type="dxa"/>
            <w:gridSpan w:val="2"/>
          </w:tcPr>
          <w:p w:rsidR="00B62AD7" w:rsidRPr="00B62AD7" w:rsidRDefault="00B62AD7" w:rsidP="008910A6">
            <w:pPr>
              <w:rPr>
                <w:rFonts w:ascii="David" w:eastAsia="David" w:hAnsi="David"/>
                <w:b/>
                <w:bCs/>
                <w:noProof w:val="0"/>
              </w:rPr>
            </w:pPr>
          </w:p>
        </w:tc>
        <w:tc>
          <w:tcPr>
            <w:tcW w:w="5571" w:type="dxa"/>
          </w:tcPr>
          <w:p w:rsidR="00B66717" w:rsidRPr="00B62AD7" w:rsidRDefault="00B66717" w:rsidP="008910A6">
            <w:pPr>
              <w:rPr>
                <w:b/>
                <w:bCs/>
                <w:sz w:val="26"/>
                <w:szCs w:val="26"/>
              </w:rPr>
            </w:pPr>
          </w:p>
        </w:tc>
      </w:tr>
      <w:tr w:rsidR="004C17EE" w:rsidTr="008910A6">
        <w:tc>
          <w:tcPr>
            <w:tcW w:w="8820" w:type="dxa"/>
            <w:gridSpan w:val="3"/>
          </w:tcPr>
          <w:p w:rsidR="005655AC" w:rsidRDefault="005655AC" w:rsidP="008910A6">
            <w:pPr>
              <w:suppressLineNumbers/>
              <w:rPr>
                <w:rFonts w:ascii="Arial" w:hAnsi="Arial"/>
                <w:b/>
                <w:bCs/>
                <w:noProof w:val="0"/>
                <w:sz w:val="26"/>
                <w:szCs w:val="26"/>
                <w:rtl/>
              </w:rPr>
            </w:pPr>
          </w:p>
        </w:tc>
      </w:tr>
    </w:tbl>
    <w:tbl>
      <w:tblPr>
        <w:tblStyle w:val="aa"/>
        <w:bidiVisual/>
        <w:tblW w:w="104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76"/>
      </w:tblGrid>
      <w:tr w:rsidR="00694556" w:rsidRPr="00DE1E7D" w:rsidTr="008910A6">
        <w:trPr>
          <w:jc w:val="center"/>
        </w:trPr>
        <w:tc>
          <w:tcPr>
            <w:tcW w:w="10476" w:type="dxa"/>
          </w:tcPr>
          <w:tbl>
            <w:tblPr>
              <w:tblStyle w:val="aa"/>
              <w:bidiVisual/>
              <w:tblW w:w="8820" w:type="dxa"/>
              <w:jc w:val="center"/>
              <w:tblLook w:val="01E0" w:firstRow="1" w:lastRow="1" w:firstColumn="1" w:lastColumn="1" w:noHBand="0" w:noVBand="0"/>
            </w:tblPr>
            <w:tblGrid>
              <w:gridCol w:w="923"/>
              <w:gridCol w:w="3219"/>
              <w:gridCol w:w="4678"/>
            </w:tblGrid>
            <w:tr w:rsidR="008910A6" w:rsidTr="008910A6">
              <w:trPr>
                <w:trHeight w:val="295"/>
                <w:jc w:val="center"/>
              </w:trPr>
              <w:tc>
                <w:tcPr>
                  <w:tcW w:w="923" w:type="dxa"/>
                  <w:tcBorders>
                    <w:top w:val="nil"/>
                    <w:left w:val="nil"/>
                    <w:bottom w:val="nil"/>
                    <w:right w:val="nil"/>
                  </w:tcBorders>
                  <w:hideMark/>
                </w:tcPr>
                <w:p w:rsidR="008910A6" w:rsidRDefault="008910A6" w:rsidP="008910A6">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8910A6" w:rsidRDefault="008910A6" w:rsidP="008910A6">
                  <w:pPr>
                    <w:jc w:val="both"/>
                    <w:rPr>
                      <w:rFonts w:ascii="David" w:hAnsi="David"/>
                      <w:sz w:val="26"/>
                      <w:szCs w:val="26"/>
                    </w:rPr>
                  </w:pPr>
                </w:p>
                <w:p w:rsidR="008910A6" w:rsidRDefault="008910A6" w:rsidP="008910A6">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Pr>
                          <w:rFonts w:ascii="David" w:hAnsi="David"/>
                          <w:b/>
                          <w:bCs/>
                          <w:sz w:val="26"/>
                          <w:szCs w:val="26"/>
                          <w:rtl/>
                        </w:rPr>
                        <w:t>עמי קובו – אב"ד</w:t>
                      </w:r>
                    </w:sdtContent>
                  </w:sdt>
                </w:p>
                <w:p w:rsidR="008910A6" w:rsidRDefault="008910A6" w:rsidP="008910A6">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38013083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306135603"/>
                      <w:text w:multiLine="1"/>
                    </w:sdtPr>
                    <w:sdtEndPr/>
                    <w:sdtContent>
                      <w:r>
                        <w:rPr>
                          <w:rFonts w:ascii="David" w:hAnsi="David"/>
                          <w:b/>
                          <w:bCs/>
                          <w:sz w:val="26"/>
                          <w:szCs w:val="26"/>
                          <w:rtl/>
                        </w:rPr>
                        <w:t>מיכאל קרשן</w:t>
                      </w:r>
                    </w:sdtContent>
                  </w:sdt>
                </w:p>
                <w:p w:rsidR="008910A6" w:rsidRDefault="008910A6" w:rsidP="008910A6">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08405806"/>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1402876953"/>
                      <w:text w:multiLine="1"/>
                    </w:sdtPr>
                    <w:sdtEndPr/>
                    <w:sdtContent>
                      <w:r>
                        <w:rPr>
                          <w:rFonts w:ascii="David" w:hAnsi="David"/>
                          <w:b/>
                          <w:bCs/>
                          <w:sz w:val="26"/>
                          <w:szCs w:val="26"/>
                          <w:rtl/>
                        </w:rPr>
                        <w:t>מרב גרינברג</w:t>
                      </w:r>
                    </w:sdtContent>
                  </w:sdt>
                </w:p>
                <w:p w:rsidR="008910A6" w:rsidRDefault="008910A6" w:rsidP="008910A6">
                  <w:pPr>
                    <w:rPr>
                      <w:rFonts w:ascii="David" w:hAnsi="David"/>
                      <w:sz w:val="26"/>
                      <w:szCs w:val="26"/>
                      <w:rtl/>
                    </w:rPr>
                  </w:pPr>
                </w:p>
              </w:tc>
            </w:tr>
            <w:tr w:rsidR="008910A6" w:rsidTr="008910A6">
              <w:trPr>
                <w:trHeight w:val="355"/>
                <w:jc w:val="center"/>
              </w:trPr>
              <w:tc>
                <w:tcPr>
                  <w:tcW w:w="923" w:type="dxa"/>
                  <w:tcBorders>
                    <w:top w:val="nil"/>
                    <w:left w:val="nil"/>
                    <w:bottom w:val="nil"/>
                    <w:right w:val="nil"/>
                  </w:tcBorders>
                  <w:hideMark/>
                </w:tcPr>
                <w:p w:rsidR="008910A6" w:rsidRDefault="008910A6" w:rsidP="008910A6">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8910A6" w:rsidRDefault="008910A6" w:rsidP="008910A6">
                  <w:pPr>
                    <w:suppressLineNumbers/>
                  </w:pPr>
                  <w:r>
                    <w:rPr>
                      <w:rFonts w:ascii="Arial" w:hAnsi="Arial"/>
                      <w:b/>
                      <w:bCs/>
                      <w:sz w:val="26"/>
                      <w:szCs w:val="26"/>
                      <w:rtl/>
                    </w:rPr>
                    <w:t>ה</w:t>
                  </w:r>
                  <w:sdt>
                    <w:sdtPr>
                      <w:rPr>
                        <w:rtl/>
                      </w:rPr>
                      <w:alias w:val="1180"/>
                      <w:tag w:val="1180"/>
                      <w:id w:val="-529883388"/>
                      <w:text w:multiLine="1"/>
                    </w:sdtPr>
                    <w:sdtEndPr/>
                    <w:sdtContent>
                      <w:r>
                        <w:rPr>
                          <w:rFonts w:ascii="Arial" w:hAnsi="Arial"/>
                          <w:b/>
                          <w:bCs/>
                          <w:sz w:val="26"/>
                          <w:szCs w:val="26"/>
                          <w:rtl/>
                        </w:rPr>
                        <w:t>מאשימה</w:t>
                      </w:r>
                    </w:sdtContent>
                  </w:sdt>
                </w:p>
                <w:p w:rsidR="008910A6" w:rsidRDefault="008910A6" w:rsidP="008910A6">
                  <w:pPr>
                    <w:rPr>
                      <w:rFonts w:ascii="David" w:hAnsi="David"/>
                      <w:sz w:val="26"/>
                      <w:szCs w:val="26"/>
                    </w:rPr>
                  </w:pPr>
                </w:p>
              </w:tc>
              <w:tc>
                <w:tcPr>
                  <w:tcW w:w="4678" w:type="dxa"/>
                  <w:tcBorders>
                    <w:top w:val="nil"/>
                    <w:left w:val="nil"/>
                    <w:bottom w:val="nil"/>
                    <w:right w:val="nil"/>
                  </w:tcBorders>
                  <w:vAlign w:val="center"/>
                </w:tcPr>
                <w:p w:rsidR="008910A6" w:rsidRDefault="00E04C94" w:rsidP="008910A6">
                  <w:pPr>
                    <w:suppressLineNumbers/>
                  </w:pPr>
                  <w:sdt>
                    <w:sdtPr>
                      <w:rPr>
                        <w:rFonts w:ascii="Arial" w:hAnsi="Arial"/>
                        <w:b/>
                        <w:bCs/>
                        <w:sz w:val="26"/>
                        <w:szCs w:val="26"/>
                        <w:rtl/>
                      </w:rPr>
                      <w:alias w:val="3151"/>
                      <w:tag w:val="3151"/>
                      <w:id w:val="-1366284797"/>
                      <w:placeholder>
                        <w:docPart w:val="6513D737F2004D38941D4B22E4C68E1B"/>
                      </w:placeholder>
                      <w:text w:multiLine="1"/>
                    </w:sdtPr>
                    <w:sdtEndPr/>
                    <w:sdtContent>
                      <w:r w:rsidR="008910A6">
                        <w:rPr>
                          <w:rFonts w:ascii="Arial" w:hAnsi="Arial"/>
                          <w:b/>
                          <w:bCs/>
                          <w:sz w:val="26"/>
                          <w:szCs w:val="26"/>
                          <w:rtl/>
                        </w:rPr>
                        <w:t>מדינת ישראל</w:t>
                      </w:r>
                    </w:sdtContent>
                  </w:sdt>
                  <w:r w:rsidR="008910A6">
                    <w:rPr>
                      <w:rFonts w:ascii="Arial" w:hAnsi="Arial"/>
                      <w:b/>
                      <w:bCs/>
                      <w:sz w:val="26"/>
                      <w:szCs w:val="26"/>
                      <w:rtl/>
                    </w:rPr>
                    <w:t xml:space="preserve"> </w:t>
                  </w:r>
                </w:p>
                <w:p w:rsidR="008910A6" w:rsidRDefault="008910A6" w:rsidP="008910A6">
                  <w:pPr>
                    <w:suppressLineNumbers/>
                    <w:rPr>
                      <w:rtl/>
                    </w:rPr>
                  </w:pPr>
                  <w:r>
                    <w:rPr>
                      <w:rtl/>
                    </w:rPr>
                    <w:t>באמצעות פרקליטות מחוז מרכז</w:t>
                  </w:r>
                </w:p>
                <w:p w:rsidR="008910A6" w:rsidRDefault="008910A6" w:rsidP="008910A6">
                  <w:pPr>
                    <w:suppressLineNumbers/>
                    <w:rPr>
                      <w:rtl/>
                    </w:rPr>
                  </w:pPr>
                  <w:r>
                    <w:rPr>
                      <w:rtl/>
                    </w:rPr>
                    <w:t>ע"י עו"ד שחף קלינמן שמעוני</w:t>
                  </w:r>
                </w:p>
                <w:p w:rsidR="008910A6" w:rsidRDefault="008910A6" w:rsidP="008910A6">
                  <w:pPr>
                    <w:rPr>
                      <w:rFonts w:ascii="David" w:hAnsi="David"/>
                      <w:sz w:val="26"/>
                      <w:szCs w:val="26"/>
                    </w:rPr>
                  </w:pPr>
                </w:p>
              </w:tc>
            </w:tr>
            <w:tr w:rsidR="008910A6" w:rsidTr="008910A6">
              <w:trPr>
                <w:trHeight w:val="355"/>
                <w:jc w:val="center"/>
              </w:trPr>
              <w:tc>
                <w:tcPr>
                  <w:tcW w:w="923" w:type="dxa"/>
                  <w:tcBorders>
                    <w:top w:val="nil"/>
                    <w:left w:val="nil"/>
                    <w:bottom w:val="nil"/>
                    <w:right w:val="nil"/>
                  </w:tcBorders>
                </w:tcPr>
                <w:p w:rsidR="008910A6" w:rsidRDefault="008910A6" w:rsidP="008910A6">
                  <w:pPr>
                    <w:jc w:val="both"/>
                    <w:rPr>
                      <w:rFonts w:ascii="David" w:hAnsi="David"/>
                      <w:sz w:val="26"/>
                      <w:szCs w:val="26"/>
                    </w:rPr>
                  </w:pPr>
                </w:p>
              </w:tc>
              <w:tc>
                <w:tcPr>
                  <w:tcW w:w="7897" w:type="dxa"/>
                  <w:gridSpan w:val="2"/>
                  <w:tcBorders>
                    <w:top w:val="nil"/>
                    <w:left w:val="nil"/>
                    <w:bottom w:val="nil"/>
                    <w:right w:val="nil"/>
                  </w:tcBorders>
                </w:tcPr>
                <w:p w:rsidR="008910A6" w:rsidRDefault="008910A6" w:rsidP="008910A6">
                  <w:pPr>
                    <w:jc w:val="center"/>
                    <w:rPr>
                      <w:rFonts w:ascii="David" w:hAnsi="David"/>
                      <w:b/>
                      <w:bCs/>
                      <w:sz w:val="26"/>
                      <w:szCs w:val="26"/>
                      <w:rtl/>
                    </w:rPr>
                  </w:pPr>
                </w:p>
                <w:p w:rsidR="008910A6" w:rsidRDefault="008910A6" w:rsidP="008910A6">
                  <w:pPr>
                    <w:jc w:val="center"/>
                    <w:rPr>
                      <w:rFonts w:ascii="David" w:hAnsi="David"/>
                      <w:b/>
                      <w:bCs/>
                      <w:sz w:val="26"/>
                      <w:szCs w:val="26"/>
                      <w:rtl/>
                    </w:rPr>
                  </w:pPr>
                  <w:r>
                    <w:rPr>
                      <w:rFonts w:ascii="David" w:hAnsi="David"/>
                      <w:b/>
                      <w:bCs/>
                      <w:sz w:val="26"/>
                      <w:szCs w:val="26"/>
                      <w:rtl/>
                    </w:rPr>
                    <w:t>נגד</w:t>
                  </w:r>
                </w:p>
                <w:p w:rsidR="008910A6" w:rsidRDefault="008910A6" w:rsidP="008910A6">
                  <w:pPr>
                    <w:jc w:val="both"/>
                    <w:rPr>
                      <w:rFonts w:ascii="David" w:hAnsi="David"/>
                      <w:sz w:val="26"/>
                      <w:szCs w:val="26"/>
                      <w:rtl/>
                    </w:rPr>
                  </w:pPr>
                </w:p>
              </w:tc>
            </w:tr>
            <w:tr w:rsidR="008910A6" w:rsidTr="008910A6">
              <w:trPr>
                <w:trHeight w:val="355"/>
                <w:jc w:val="center"/>
              </w:trPr>
              <w:tc>
                <w:tcPr>
                  <w:tcW w:w="923" w:type="dxa"/>
                  <w:tcBorders>
                    <w:top w:val="nil"/>
                    <w:left w:val="nil"/>
                    <w:bottom w:val="nil"/>
                    <w:right w:val="nil"/>
                  </w:tcBorders>
                </w:tcPr>
                <w:p w:rsidR="008910A6" w:rsidRDefault="008910A6" w:rsidP="008910A6">
                  <w:pPr>
                    <w:rPr>
                      <w:rFonts w:ascii="David" w:hAnsi="David"/>
                      <w:sz w:val="26"/>
                      <w:szCs w:val="26"/>
                    </w:rPr>
                  </w:pPr>
                </w:p>
              </w:tc>
              <w:tc>
                <w:tcPr>
                  <w:tcW w:w="3219" w:type="dxa"/>
                  <w:tcBorders>
                    <w:top w:val="nil"/>
                    <w:left w:val="nil"/>
                    <w:bottom w:val="nil"/>
                    <w:right w:val="nil"/>
                  </w:tcBorders>
                  <w:hideMark/>
                </w:tcPr>
                <w:p w:rsidR="008910A6" w:rsidRDefault="008910A6" w:rsidP="008910A6">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hideMark/>
                </w:tcPr>
                <w:p w:rsidR="008910A6" w:rsidRDefault="00E04C94" w:rsidP="008910A6">
                  <w:pPr>
                    <w:suppressLineNumbers/>
                    <w:rPr>
                      <w:rtl/>
                    </w:rPr>
                  </w:pPr>
                  <w:sdt>
                    <w:sdtPr>
                      <w:rPr>
                        <w:rFonts w:ascii="Arial" w:hAnsi="Arial"/>
                        <w:b/>
                        <w:bCs/>
                        <w:sz w:val="26"/>
                        <w:szCs w:val="26"/>
                        <w:rtl/>
                      </w:rPr>
                      <w:alias w:val="3152"/>
                      <w:tag w:val="3152"/>
                      <w:id w:val="-1556625053"/>
                      <w:placeholder>
                        <w:docPart w:val="EE5A443D05EC48A3B859D6B426B84C84"/>
                      </w:placeholder>
                      <w:text w:multiLine="1"/>
                    </w:sdtPr>
                    <w:sdtEndPr/>
                    <w:sdtContent>
                      <w:r w:rsidR="008910A6">
                        <w:rPr>
                          <w:rFonts w:ascii="Arial" w:hAnsi="Arial" w:hint="cs"/>
                          <w:b/>
                          <w:bCs/>
                          <w:sz w:val="26"/>
                          <w:szCs w:val="26"/>
                          <w:rtl/>
                        </w:rPr>
                        <w:t>פלוני</w:t>
                      </w:r>
                      <w:r w:rsidR="008910A6">
                        <w:rPr>
                          <w:rFonts w:ascii="Arial" w:hAnsi="Arial"/>
                          <w:b/>
                          <w:bCs/>
                          <w:sz w:val="26"/>
                          <w:szCs w:val="26"/>
                          <w:rtl/>
                        </w:rPr>
                        <w:t xml:space="preserve"> </w:t>
                      </w:r>
                    </w:sdtContent>
                  </w:sdt>
                </w:p>
                <w:p w:rsidR="008910A6" w:rsidRDefault="008910A6" w:rsidP="008910A6">
                  <w:pPr>
                    <w:rPr>
                      <w:rFonts w:ascii="David" w:hAnsi="David"/>
                    </w:rPr>
                  </w:pPr>
                  <w:r>
                    <w:rPr>
                      <w:rFonts w:ascii="David" w:hAnsi="David"/>
                      <w:rtl/>
                    </w:rPr>
                    <w:t>ע"י עוה"ד יובל זמר ושרית קוטלובסקי</w:t>
                  </w:r>
                </w:p>
              </w:tc>
            </w:tr>
            <w:tr w:rsidR="008910A6" w:rsidTr="008910A6">
              <w:trPr>
                <w:trHeight w:val="355"/>
                <w:jc w:val="center"/>
              </w:trPr>
              <w:tc>
                <w:tcPr>
                  <w:tcW w:w="923" w:type="dxa"/>
                  <w:tcBorders>
                    <w:top w:val="nil"/>
                    <w:left w:val="nil"/>
                    <w:bottom w:val="nil"/>
                    <w:right w:val="nil"/>
                  </w:tcBorders>
                </w:tcPr>
                <w:p w:rsidR="008910A6" w:rsidRDefault="008910A6" w:rsidP="008910A6">
                  <w:pPr>
                    <w:jc w:val="both"/>
                    <w:rPr>
                      <w:rFonts w:ascii="David" w:hAnsi="David"/>
                      <w:sz w:val="26"/>
                      <w:szCs w:val="26"/>
                    </w:rPr>
                  </w:pPr>
                </w:p>
              </w:tc>
              <w:tc>
                <w:tcPr>
                  <w:tcW w:w="3219" w:type="dxa"/>
                  <w:tcBorders>
                    <w:top w:val="nil"/>
                    <w:left w:val="nil"/>
                    <w:bottom w:val="nil"/>
                    <w:right w:val="nil"/>
                  </w:tcBorders>
                </w:tcPr>
                <w:p w:rsidR="008910A6" w:rsidRDefault="008910A6" w:rsidP="008910A6">
                  <w:pPr>
                    <w:jc w:val="both"/>
                    <w:rPr>
                      <w:rFonts w:ascii="David" w:hAnsi="David"/>
                      <w:sz w:val="26"/>
                      <w:szCs w:val="26"/>
                      <w:rtl/>
                    </w:rPr>
                  </w:pPr>
                </w:p>
              </w:tc>
              <w:tc>
                <w:tcPr>
                  <w:tcW w:w="4678" w:type="dxa"/>
                  <w:tcBorders>
                    <w:top w:val="nil"/>
                    <w:left w:val="nil"/>
                    <w:bottom w:val="nil"/>
                    <w:right w:val="nil"/>
                  </w:tcBorders>
                </w:tcPr>
                <w:p w:rsidR="008910A6" w:rsidRDefault="008910A6" w:rsidP="008910A6">
                  <w:pPr>
                    <w:jc w:val="right"/>
                    <w:rPr>
                      <w:rFonts w:ascii="David" w:hAnsi="David"/>
                      <w:sz w:val="26"/>
                      <w:szCs w:val="26"/>
                      <w:rtl/>
                    </w:rPr>
                  </w:pPr>
                </w:p>
              </w:tc>
            </w:tr>
          </w:tbl>
          <w:p w:rsidR="008910A6" w:rsidRDefault="008910A6" w:rsidP="008910A6">
            <w:pPr>
              <w:jc w:val="center"/>
              <w:rPr>
                <w:u w:val="single"/>
                <w:rtl/>
              </w:rPr>
            </w:pPr>
            <w:r>
              <w:rPr>
                <w:rFonts w:hint="cs"/>
                <w:u w:val="single"/>
                <w:rtl/>
              </w:rPr>
              <w:t>נוסח זה של גזר הדין מותר בפרסום</w:t>
            </w:r>
          </w:p>
          <w:p w:rsidR="00601408" w:rsidRPr="008910A6" w:rsidRDefault="00601408" w:rsidP="008910A6">
            <w:pPr>
              <w:jc w:val="center"/>
              <w:rPr>
                <w:u w:val="single"/>
              </w:rPr>
            </w:pPr>
          </w:p>
          <w:tbl>
            <w:tblPr>
              <w:tblStyle w:val="aa"/>
              <w:bidiVisual/>
              <w:tblW w:w="8820" w:type="dxa"/>
              <w:jc w:val="center"/>
              <w:tblLook w:val="01E0" w:firstRow="1" w:lastRow="1" w:firstColumn="1" w:lastColumn="1" w:noHBand="0" w:noVBand="0"/>
            </w:tblPr>
            <w:tblGrid>
              <w:gridCol w:w="8820"/>
            </w:tblGrid>
            <w:tr w:rsidR="008910A6" w:rsidTr="008910A6">
              <w:trPr>
                <w:trHeight w:val="355"/>
                <w:jc w:val="center"/>
              </w:trPr>
              <w:tc>
                <w:tcPr>
                  <w:tcW w:w="8820" w:type="dxa"/>
                  <w:tcBorders>
                    <w:top w:val="nil"/>
                    <w:left w:val="nil"/>
                    <w:bottom w:val="nil"/>
                    <w:right w:val="nil"/>
                  </w:tcBorders>
                  <w:hideMark/>
                </w:tcPr>
                <w:p w:rsidR="008910A6" w:rsidRDefault="008910A6" w:rsidP="008910A6">
                  <w:pPr>
                    <w:jc w:val="center"/>
                    <w:rPr>
                      <w:rFonts w:ascii="David" w:hAnsi="David"/>
                      <w:sz w:val="32"/>
                      <w:szCs w:val="32"/>
                      <w:u w:val="single"/>
                    </w:rPr>
                  </w:pPr>
                  <w:r>
                    <w:rPr>
                      <w:rFonts w:ascii="David" w:hAnsi="David"/>
                      <w:b/>
                      <w:bCs/>
                      <w:sz w:val="32"/>
                      <w:szCs w:val="32"/>
                      <w:u w:val="single"/>
                      <w:rtl/>
                    </w:rPr>
                    <w:t>גזר דין</w:t>
                  </w:r>
                </w:p>
              </w:tc>
            </w:tr>
          </w:tbl>
          <w:p w:rsidR="008910A6" w:rsidRDefault="008910A6" w:rsidP="008910A6">
            <w:pPr>
              <w:rPr>
                <w:rFonts w:ascii="Arial" w:hAnsi="Arial"/>
                <w:b/>
                <w:bCs/>
                <w:sz w:val="26"/>
                <w:szCs w:val="26"/>
                <w:rtl/>
              </w:rPr>
            </w:pPr>
          </w:p>
          <w:p w:rsidR="008910A6" w:rsidRDefault="008910A6" w:rsidP="008910A6">
            <w:pPr>
              <w:spacing w:after="120" w:line="360" w:lineRule="auto"/>
              <w:jc w:val="both"/>
              <w:rPr>
                <w:bCs/>
                <w:u w:val="single"/>
                <w:rtl/>
                <w:lang w:eastAsia="he-IL"/>
              </w:rPr>
            </w:pPr>
          </w:p>
          <w:p w:rsidR="008910A6" w:rsidRDefault="008910A6" w:rsidP="008910A6">
            <w:pPr>
              <w:pStyle w:val="ae"/>
              <w:numPr>
                <w:ilvl w:val="0"/>
                <w:numId w:val="2"/>
              </w:numPr>
              <w:spacing w:after="120" w:line="360" w:lineRule="auto"/>
              <w:jc w:val="both"/>
              <w:rPr>
                <w:rFonts w:eastAsia="Times New Roman"/>
                <w:color w:val="000000"/>
              </w:rPr>
            </w:pPr>
            <w:r>
              <w:rPr>
                <w:rFonts w:eastAsia="Times New Roman" w:hint="cs"/>
                <w:color w:val="000000"/>
                <w:rtl/>
              </w:rPr>
              <w:t>הנאשם הורשע על יסוד הודאתו, במסגרת הסדר דיוני, בעובדות כתב אישום מתוקן, בביצוע העבירות הבאות:</w:t>
            </w:r>
            <w:r>
              <w:rPr>
                <w:rFonts w:eastAsia="Times New Roman" w:hint="cs"/>
                <w:b/>
                <w:bCs/>
                <w:color w:val="000000"/>
                <w:rtl/>
              </w:rPr>
              <w:t xml:space="preserve"> מעשה סדום בקטינה מתחת לגיל 16 בת משפחה (ריבוי עבירות)</w:t>
            </w:r>
            <w:r>
              <w:rPr>
                <w:rFonts w:eastAsia="Times New Roman" w:hint="cs"/>
                <w:color w:val="000000"/>
                <w:rtl/>
              </w:rPr>
              <w:t xml:space="preserve">, לפי סעיף 351(א) ביחד עם סעיפים 347(ב) בנסיבות סעיף 345(א)(1) וסעיף 345(ב)(1) לחוק העונשין, התשל"ז-1977 (להלן: החוק); </w:t>
            </w:r>
            <w:r>
              <w:rPr>
                <w:rFonts w:eastAsia="Times New Roman" w:hint="cs"/>
                <w:b/>
                <w:bCs/>
                <w:color w:val="000000"/>
                <w:rtl/>
              </w:rPr>
              <w:t>מעשה מגונה בקטינה מתחת לגיל 16 בת משפחה (ריבוי עבירות)</w:t>
            </w:r>
            <w:r>
              <w:rPr>
                <w:rFonts w:eastAsia="Times New Roman" w:hint="cs"/>
                <w:color w:val="000000"/>
                <w:rtl/>
              </w:rPr>
              <w:t xml:space="preserve">, לפי סעיף 351(ג)(2) בנסיבות 348(ב) בנסיבות 345(ב)(1) וסעיף 345(א)(1) לחוק. </w:t>
            </w:r>
          </w:p>
          <w:p w:rsidR="008910A6" w:rsidRDefault="008910A6" w:rsidP="008910A6">
            <w:pPr>
              <w:pStyle w:val="ae"/>
              <w:spacing w:after="120" w:line="360" w:lineRule="auto"/>
              <w:jc w:val="both"/>
              <w:rPr>
                <w:rFonts w:eastAsia="Times New Roman"/>
                <w:color w:val="000000"/>
                <w:rtl/>
              </w:rPr>
            </w:pPr>
            <w:r>
              <w:rPr>
                <w:rFonts w:eastAsia="Times New Roman" w:hint="cs"/>
                <w:color w:val="000000"/>
                <w:rtl/>
              </w:rPr>
              <w:t xml:space="preserve"> </w:t>
            </w:r>
          </w:p>
          <w:p w:rsidR="008910A6" w:rsidRDefault="008910A6" w:rsidP="008910A6">
            <w:pPr>
              <w:pStyle w:val="ae"/>
              <w:numPr>
                <w:ilvl w:val="0"/>
                <w:numId w:val="2"/>
              </w:numPr>
              <w:spacing w:after="120" w:line="360" w:lineRule="auto"/>
              <w:jc w:val="both"/>
              <w:rPr>
                <w:rFonts w:eastAsia="Times New Roman"/>
                <w:color w:val="000000"/>
              </w:rPr>
            </w:pPr>
            <w:r>
              <w:rPr>
                <w:rFonts w:eastAsia="Times New Roman" w:hint="cs"/>
                <w:color w:val="000000"/>
                <w:rtl/>
              </w:rPr>
              <w:t>על פי המפורט בעובדות כתב האישום המתוקן, הנאשם הוא אבי הקטינה א.א ילידת  5.8.2007 (להלן: "א.א" או "המתלוננת"). במועדים הרלוונטיים התגוררה המשפחה בביתה או בבית זמני בישוב [</w:t>
            </w:r>
            <w:r w:rsidRPr="008910A6">
              <w:rPr>
                <w:rFonts w:eastAsia="Times New Roman" w:hint="cs"/>
                <w:b/>
                <w:bCs/>
                <w:color w:val="000000"/>
                <w:rtl/>
              </w:rPr>
              <w:t>הושמט</w:t>
            </w:r>
            <w:r>
              <w:rPr>
                <w:rFonts w:eastAsia="Times New Roman" w:hint="cs"/>
                <w:color w:val="000000"/>
                <w:rtl/>
              </w:rPr>
              <w:t xml:space="preserve">]. החל מחודש אוקטובר 2018 לערך ועד לחודש מרץ 2019 לערך, בעת שהקטינה א.א הייתה בין הגילאים 12.5-11, בתדירות רבה, ישבה הקטינה בסלון הבית/הבית הזמני והנאשם התיישב לצידה. בחלק מהמועדים קרא לה להתיישב לצדו על הספה בסלון. באותן הנסיבות, במספר הזדמנויות הכניס הנאשם את ידו מתחת תחתוניה של א.א ועיסה את ישבנה ואת פי הטבעת שלה, ללא הסכמתה, לשם גירוי או סיפוק מיני; באותן הנסיבות, בחלק מאותן הזדמנויות גם לחץ באצבעו לתוך פי הטבעת של א.א בניגוד להסכמתה. </w:t>
            </w:r>
          </w:p>
          <w:p w:rsidR="008910A6" w:rsidRDefault="008910A6" w:rsidP="008910A6">
            <w:pPr>
              <w:pStyle w:val="ae"/>
              <w:rPr>
                <w:rFonts w:eastAsia="Times New Roman"/>
                <w:color w:val="000000"/>
              </w:rPr>
            </w:pPr>
          </w:p>
          <w:p w:rsidR="008910A6" w:rsidRDefault="008910A6" w:rsidP="008910A6">
            <w:pPr>
              <w:pStyle w:val="ae"/>
              <w:spacing w:after="120" w:line="360" w:lineRule="auto"/>
              <w:jc w:val="both"/>
              <w:rPr>
                <w:rFonts w:eastAsia="Times New Roman"/>
                <w:color w:val="000000"/>
              </w:rPr>
            </w:pPr>
            <w:r>
              <w:rPr>
                <w:rFonts w:eastAsia="Times New Roman" w:hint="cs"/>
                <w:color w:val="000000"/>
                <w:rtl/>
              </w:rPr>
              <w:lastRenderedPageBreak/>
              <w:t xml:space="preserve">באחת ההזדמנויות המתוארות לעיל, בשנת 2019 לערך, התיישבה א.א בסלון הבית, הנאשם התיישב מימינה, הניח את ידו השמאלית על כתפה וליטף אותה לאורך גבה עד לישבנה, הכניס את ידו לתוך תחתוניה וליטף את ישבנה ואת פי הטבעת שלה לשם גירוי או סיפוק מיני, ולאחר מכן נשק לה בלחייה. </w:t>
            </w:r>
          </w:p>
          <w:p w:rsidR="008910A6" w:rsidRDefault="008910A6" w:rsidP="008910A6">
            <w:pPr>
              <w:pStyle w:val="ae"/>
              <w:spacing w:after="120" w:line="360" w:lineRule="auto"/>
              <w:jc w:val="both"/>
              <w:rPr>
                <w:rFonts w:eastAsia="Times New Roman"/>
                <w:color w:val="000000"/>
                <w:rtl/>
              </w:rPr>
            </w:pPr>
          </w:p>
          <w:p w:rsidR="008910A6" w:rsidRDefault="008910A6" w:rsidP="008910A6">
            <w:pPr>
              <w:pStyle w:val="ae"/>
              <w:spacing w:after="120" w:line="360" w:lineRule="auto"/>
              <w:jc w:val="both"/>
              <w:rPr>
                <w:rFonts w:eastAsia="Times New Roman"/>
                <w:b/>
                <w:bCs/>
                <w:color w:val="000000"/>
                <w:rtl/>
              </w:rPr>
            </w:pPr>
            <w:r>
              <w:rPr>
                <w:rFonts w:eastAsia="Times New Roman" w:hint="cs"/>
                <w:b/>
                <w:bCs/>
                <w:color w:val="000000"/>
                <w:rtl/>
              </w:rPr>
              <w:t xml:space="preserve">במעשים אלו ביצע הנאשם במספר הזדמנויות מעשה סדום בבתו, קטינה מתחת לגיל 16, בניגוד להסכמתה החופשית וביצע בה במספר הזדמנויות מעשים מגונים לשם גירוי או סיפוק מיני. </w:t>
            </w:r>
          </w:p>
          <w:p w:rsidR="008910A6" w:rsidRDefault="008910A6" w:rsidP="008910A6">
            <w:pPr>
              <w:pStyle w:val="ae"/>
              <w:spacing w:after="120" w:line="360" w:lineRule="auto"/>
              <w:jc w:val="both"/>
              <w:rPr>
                <w:rFonts w:eastAsia="Times New Roman"/>
                <w:b/>
                <w:bCs/>
                <w:color w:val="000000"/>
                <w:rtl/>
              </w:rPr>
            </w:pPr>
          </w:p>
          <w:p w:rsidR="008910A6" w:rsidRDefault="008910A6" w:rsidP="008910A6">
            <w:pPr>
              <w:pStyle w:val="ae"/>
              <w:numPr>
                <w:ilvl w:val="0"/>
                <w:numId w:val="2"/>
              </w:numPr>
              <w:spacing w:after="120" w:line="360" w:lineRule="auto"/>
              <w:jc w:val="both"/>
              <w:rPr>
                <w:rFonts w:eastAsia="Times New Roman"/>
                <w:color w:val="000000"/>
                <w:rtl/>
              </w:rPr>
            </w:pPr>
            <w:r>
              <w:rPr>
                <w:rFonts w:eastAsia="Times New Roman" w:hint="cs"/>
                <w:color w:val="000000"/>
                <w:rtl/>
              </w:rPr>
              <w:t xml:space="preserve">תחילה הכחיש הנאשם את המיוחס לו, התיק נקבע לשמיעת ראיות ונשמעה עדות המתלוננת. בהמשך הגיעו הצדדים להסדר דיוני, פרי הליך גישור שנוהל לפני כב' השופט טרסי, ולפיו הורשע הנאשם בכתב אישום מתוקן, בהסכמת הצדדים הופנה לתסקיר שירות מבחן והתקבל תסקיר נפגעת עבירה. עוד הוסכם כתנאי להסדר שהנאשם יפקיד עובר למועד הטיעונים לעונש סך של 100,000 ₪, שיהווה חלק מהפיצוי הכולל שייפסק לא.א בהתאם לשיקול דעת בית המשפט. </w:t>
            </w:r>
          </w:p>
          <w:p w:rsidR="008910A6" w:rsidRDefault="008910A6" w:rsidP="008910A6">
            <w:pPr>
              <w:pStyle w:val="ae"/>
              <w:spacing w:after="120" w:line="360" w:lineRule="auto"/>
              <w:jc w:val="both"/>
              <w:rPr>
                <w:rFonts w:eastAsia="Times New Roman"/>
                <w:color w:val="000000"/>
                <w:rtl/>
              </w:rPr>
            </w:pPr>
          </w:p>
          <w:p w:rsidR="008910A6" w:rsidRDefault="008910A6" w:rsidP="008910A6">
            <w:pPr>
              <w:pStyle w:val="ae"/>
              <w:spacing w:after="120" w:line="360" w:lineRule="auto"/>
              <w:jc w:val="both"/>
              <w:rPr>
                <w:rFonts w:eastAsia="Times New Roman"/>
                <w:b/>
                <w:bCs/>
                <w:color w:val="000000"/>
                <w:u w:val="single"/>
              </w:rPr>
            </w:pPr>
            <w:r>
              <w:rPr>
                <w:rFonts w:eastAsia="Times New Roman" w:hint="cs"/>
                <w:b/>
                <w:bCs/>
                <w:color w:val="000000"/>
                <w:u w:val="single"/>
                <w:rtl/>
              </w:rPr>
              <w:t>תסקיר שירות מבחן</w:t>
            </w:r>
          </w:p>
          <w:p w:rsidR="008910A6" w:rsidRDefault="008910A6" w:rsidP="008910A6">
            <w:pPr>
              <w:pStyle w:val="ae"/>
              <w:numPr>
                <w:ilvl w:val="0"/>
                <w:numId w:val="2"/>
              </w:numPr>
              <w:spacing w:after="120" w:line="360" w:lineRule="auto"/>
              <w:jc w:val="both"/>
              <w:rPr>
                <w:rFonts w:eastAsia="Times New Roman"/>
                <w:color w:val="000000"/>
                <w:rtl/>
              </w:rPr>
            </w:pPr>
            <w:r>
              <w:rPr>
                <w:rFonts w:eastAsia="Times New Roman" w:hint="cs"/>
                <w:color w:val="000000"/>
                <w:rtl/>
              </w:rPr>
              <w:t>[</w:t>
            </w:r>
            <w:r w:rsidRPr="008910A6">
              <w:rPr>
                <w:rFonts w:eastAsia="Times New Roman" w:hint="cs"/>
                <w:b/>
                <w:bCs/>
                <w:color w:val="000000"/>
                <w:rtl/>
              </w:rPr>
              <w:t>הושמט</w:t>
            </w:r>
            <w:r>
              <w:rPr>
                <w:rFonts w:eastAsia="Times New Roman" w:hint="cs"/>
                <w:color w:val="000000"/>
                <w:rtl/>
              </w:rPr>
              <w:t xml:space="preserve">]. </w:t>
            </w:r>
          </w:p>
          <w:p w:rsidR="008910A6" w:rsidRDefault="008910A6" w:rsidP="008910A6">
            <w:pPr>
              <w:pStyle w:val="ae"/>
              <w:spacing w:after="120" w:line="360" w:lineRule="auto"/>
              <w:jc w:val="both"/>
              <w:rPr>
                <w:rFonts w:eastAsia="Times New Roman"/>
                <w:color w:val="000000"/>
              </w:rPr>
            </w:pPr>
          </w:p>
          <w:p w:rsidR="008910A6" w:rsidRDefault="008910A6" w:rsidP="008910A6">
            <w:pPr>
              <w:pStyle w:val="ae"/>
              <w:numPr>
                <w:ilvl w:val="0"/>
                <w:numId w:val="2"/>
              </w:numPr>
              <w:spacing w:after="120" w:line="360" w:lineRule="auto"/>
              <w:jc w:val="both"/>
              <w:rPr>
                <w:rFonts w:eastAsia="Times New Roman"/>
                <w:color w:val="000000"/>
              </w:rPr>
            </w:pPr>
            <w:r>
              <w:rPr>
                <w:rFonts w:eastAsia="Times New Roman" w:hint="cs"/>
                <w:color w:val="000000"/>
                <w:rtl/>
              </w:rPr>
              <w:t>[</w:t>
            </w:r>
            <w:r w:rsidRPr="008910A6">
              <w:rPr>
                <w:rFonts w:eastAsia="Times New Roman" w:hint="cs"/>
                <w:b/>
                <w:bCs/>
                <w:color w:val="000000"/>
                <w:rtl/>
              </w:rPr>
              <w:t>הושמט</w:t>
            </w:r>
            <w:r>
              <w:rPr>
                <w:rFonts w:eastAsia="Times New Roman" w:hint="cs"/>
                <w:color w:val="000000"/>
                <w:rtl/>
              </w:rPr>
              <w:t xml:space="preserve">].  </w:t>
            </w:r>
          </w:p>
          <w:p w:rsidR="008910A6" w:rsidRDefault="008910A6" w:rsidP="008910A6">
            <w:pPr>
              <w:pStyle w:val="ae"/>
              <w:rPr>
                <w:rFonts w:eastAsia="Times New Roman"/>
                <w:color w:val="000000"/>
              </w:rPr>
            </w:pPr>
          </w:p>
          <w:p w:rsidR="008910A6" w:rsidRDefault="00EC0342" w:rsidP="008910A6">
            <w:pPr>
              <w:spacing w:after="120" w:line="360" w:lineRule="auto"/>
              <w:jc w:val="both"/>
              <w:rPr>
                <w:b/>
                <w:bCs/>
                <w:color w:val="000000"/>
                <w:u w:val="single"/>
              </w:rPr>
            </w:pPr>
            <w:r w:rsidRPr="00EC0342">
              <w:rPr>
                <w:rFonts w:hint="cs"/>
                <w:b/>
                <w:bCs/>
                <w:color w:val="000000"/>
                <w:rtl/>
              </w:rPr>
              <w:t xml:space="preserve">       </w:t>
            </w:r>
            <w:r>
              <w:rPr>
                <w:rFonts w:hint="cs"/>
                <w:b/>
                <w:bCs/>
                <w:color w:val="000000"/>
                <w:u w:val="single"/>
                <w:rtl/>
              </w:rPr>
              <w:t xml:space="preserve"> </w:t>
            </w:r>
            <w:r w:rsidR="008910A6">
              <w:rPr>
                <w:b/>
                <w:bCs/>
                <w:color w:val="000000"/>
                <w:u w:val="single"/>
                <w:rtl/>
              </w:rPr>
              <w:t>תסקיר נפגעת העבירה</w:t>
            </w:r>
          </w:p>
          <w:p w:rsidR="008910A6" w:rsidRPr="00EC0342" w:rsidRDefault="00EC0342" w:rsidP="00EC0342">
            <w:pPr>
              <w:pStyle w:val="ae"/>
              <w:numPr>
                <w:ilvl w:val="0"/>
                <w:numId w:val="2"/>
              </w:numPr>
              <w:spacing w:line="360" w:lineRule="auto"/>
              <w:jc w:val="both"/>
              <w:rPr>
                <w:color w:val="000000"/>
                <w:rtl/>
              </w:rPr>
            </w:pPr>
            <w:r w:rsidRPr="00EC0342">
              <w:rPr>
                <w:rFonts w:hint="cs"/>
                <w:color w:val="000000"/>
                <w:rtl/>
              </w:rPr>
              <w:t>[</w:t>
            </w:r>
            <w:r w:rsidRPr="00EC0342">
              <w:rPr>
                <w:rFonts w:hint="cs"/>
                <w:b/>
                <w:bCs/>
                <w:color w:val="000000"/>
                <w:rtl/>
              </w:rPr>
              <w:t>הושמט</w:t>
            </w:r>
            <w:r w:rsidRPr="00EC0342">
              <w:rPr>
                <w:rFonts w:hint="cs"/>
                <w:color w:val="000000"/>
                <w:rtl/>
              </w:rPr>
              <w:t>].</w:t>
            </w:r>
            <w:r w:rsidR="008910A6" w:rsidRPr="00EC0342">
              <w:rPr>
                <w:color w:val="000000"/>
                <w:rtl/>
              </w:rPr>
              <w:t xml:space="preserve"> </w:t>
            </w:r>
          </w:p>
          <w:p w:rsidR="008910A6" w:rsidRDefault="008910A6" w:rsidP="008910A6">
            <w:pPr>
              <w:spacing w:line="360" w:lineRule="auto"/>
              <w:ind w:left="720"/>
              <w:jc w:val="both"/>
              <w:rPr>
                <w:color w:val="000000"/>
                <w:rtl/>
              </w:rPr>
            </w:pPr>
          </w:p>
          <w:p w:rsidR="008910A6" w:rsidRDefault="008910A6" w:rsidP="008910A6">
            <w:pPr>
              <w:spacing w:line="360" w:lineRule="auto"/>
              <w:ind w:left="720"/>
              <w:jc w:val="both"/>
              <w:rPr>
                <w:b/>
                <w:bCs/>
                <w:color w:val="000000"/>
                <w:u w:val="single"/>
                <w:rtl/>
              </w:rPr>
            </w:pPr>
            <w:r>
              <w:rPr>
                <w:b/>
                <w:bCs/>
                <w:color w:val="000000"/>
                <w:u w:val="single"/>
                <w:rtl/>
              </w:rPr>
              <w:t>ראיות המאשימה לעונש</w:t>
            </w:r>
          </w:p>
          <w:p w:rsidR="008910A6" w:rsidRDefault="008910A6" w:rsidP="008910A6">
            <w:pPr>
              <w:pStyle w:val="ae"/>
              <w:numPr>
                <w:ilvl w:val="0"/>
                <w:numId w:val="2"/>
              </w:numPr>
              <w:spacing w:after="120" w:line="360" w:lineRule="auto"/>
              <w:jc w:val="both"/>
              <w:rPr>
                <w:rFonts w:eastAsia="Times New Roman"/>
                <w:color w:val="000000"/>
              </w:rPr>
            </w:pPr>
            <w:r>
              <w:rPr>
                <w:rFonts w:eastAsia="Times New Roman" w:hint="cs"/>
                <w:color w:val="000000"/>
                <w:rtl/>
              </w:rPr>
              <w:t xml:space="preserve">עדות אימה של המתלוננת - האם שבה והדגישה בדבריה את ההתנכלות שחוו היא ובנותיה מצד קהילת היישוב בו התגוררו. לדבריה עברו "גיהנום חברתי", נידוי וחרם, כינו אותה משוגעת, הפרשה נחשפה בישוב ופגעה בפרטיותה של א.א שנמנעה להסתובב מחוץ לבית ולנהל סדר יום תקין. לדבריה מעבר ללקיחת אחריות פורמלית, הנאשם לא נטל אחריות על השלכות מעשיו ובנותיהם משלמות מחיר כבד. עוד לדבריה הנאשם שולח אנשים לעקוב אחריהם. במענה לשאלות ההגנה הוסיפה, כי גם השכנים צילמו אותה ולכן החליטה לעזוב את היישוב ולהתגורר במקום אחר. </w:t>
            </w:r>
          </w:p>
          <w:p w:rsidR="008910A6" w:rsidRDefault="008910A6" w:rsidP="008910A6">
            <w:pPr>
              <w:spacing w:after="120" w:line="360" w:lineRule="auto"/>
              <w:ind w:left="-1" w:firstLine="361"/>
              <w:jc w:val="both"/>
              <w:rPr>
                <w:b/>
                <w:bCs/>
                <w:color w:val="000000"/>
                <w:u w:val="single"/>
                <w:rtl/>
              </w:rPr>
            </w:pPr>
            <w:r>
              <w:rPr>
                <w:b/>
                <w:bCs/>
                <w:color w:val="000000"/>
                <w:u w:val="single"/>
                <w:rtl/>
              </w:rPr>
              <w:t>ראיות הגנה לעונש</w:t>
            </w:r>
          </w:p>
          <w:p w:rsidR="008910A6" w:rsidRDefault="008910A6" w:rsidP="008910A6">
            <w:pPr>
              <w:numPr>
                <w:ilvl w:val="0"/>
                <w:numId w:val="2"/>
              </w:numPr>
              <w:spacing w:after="120" w:line="360" w:lineRule="auto"/>
              <w:jc w:val="both"/>
              <w:rPr>
                <w:u w:val="single"/>
                <w:lang w:eastAsia="he-IL"/>
              </w:rPr>
            </w:pPr>
            <w:r>
              <w:rPr>
                <w:color w:val="000000"/>
                <w:rtl/>
                <w:lang w:eastAsia="he-IL"/>
              </w:rPr>
              <w:t xml:space="preserve">לזכות הנאשם העידו שני חברים המתגוררים עימו ביישוב ורב היישוב. החברים סיפרו שהנאשם היה אהוד מאד ביישוב ותרם לקהילה. לדבריהם מעשי הנאשם נשמרו בסוד ורֹב חבריי היישוב לא יודעים עליהם דבר ולא התנכלו למשפחה. אחד העדים אישר שידע במה מואשם הנאשם אך לא שהודה בביצועם, והשני אישר כי שמע באילו מעשים הורשע הנאשם רק ביום הדיון. רב  היישוב סיפר שמכיר את הנאשם מעל 8 שנים, הוא היה האדם הדתי </w:t>
            </w:r>
            <w:r>
              <w:rPr>
                <w:color w:val="000000"/>
                <w:rtl/>
                <w:lang w:eastAsia="he-IL"/>
              </w:rPr>
              <w:lastRenderedPageBreak/>
              <w:t xml:space="preserve">היחיד ביישוב ושומר איתו על קשר גם במהלך מעצרו. הרב הוסיף כי מאז שנודע לו שהנאשם הודה במיוחס לו חש צער רב וחוסר נוחות, והוסיף כי מעולם לא פרסם ביישוב דבר על מעשי הנאשם ולחברים ששואלים סיפר שהנאשם עזב את הארץ. </w:t>
            </w:r>
          </w:p>
          <w:p w:rsidR="008910A6" w:rsidRDefault="008910A6" w:rsidP="008910A6">
            <w:pPr>
              <w:spacing w:after="120" w:line="360" w:lineRule="auto"/>
              <w:ind w:left="720"/>
              <w:jc w:val="both"/>
              <w:rPr>
                <w:bCs/>
                <w:u w:val="single"/>
                <w:rtl/>
                <w:lang w:eastAsia="he-IL"/>
              </w:rPr>
            </w:pPr>
            <w:r>
              <w:rPr>
                <w:bCs/>
                <w:u w:val="single"/>
                <w:rtl/>
                <w:lang w:eastAsia="he-IL"/>
              </w:rPr>
              <w:t>טיעוני הצדדים לעונש</w:t>
            </w:r>
          </w:p>
          <w:p w:rsidR="008910A6" w:rsidRDefault="008910A6" w:rsidP="008910A6">
            <w:pPr>
              <w:numPr>
                <w:ilvl w:val="0"/>
                <w:numId w:val="2"/>
              </w:numPr>
              <w:spacing w:line="360" w:lineRule="auto"/>
              <w:jc w:val="both"/>
              <w:rPr>
                <w:rFonts w:ascii="David" w:hAnsi="David"/>
                <w:color w:val="000000"/>
              </w:rPr>
            </w:pPr>
            <w:r>
              <w:rPr>
                <w:color w:val="000000"/>
                <w:rtl/>
              </w:rPr>
              <w:t xml:space="preserve">ב"כ המאשימה, עו"ד שחף קליינמן שמעוני, עמדה בפתח דבריה על חומרת מעשיו של הנאשם, שהורשע על יסוד הודאתו במסכת עבירות מין בבתו בהיותה בגיל 11 – 12.5 שנים, על ריבוי המעשים וטיבם. לטענתה הנאשם  פגע פגיעה חמורה בערכים המוגנים ובעיקר בשלומה הפיזי והנפשי של הקטינה. עוד עמדה על ניצול יחסי הכוחות בין האב לבתו הקטינה וניצול חולשתה ותמימותה. המעשים נמשכו פרק זמן ממושך, בוצעו בתוך ביתה, לנאשם היו הזדמנויות רבות להפסיקם אך הוא לא הצליח להתגבר על דחפיו המיניים והנזק שנגרם לא.א ולמשפחה רב, משפחתה התפרקה, המתלוננת הייתה מושא לנידוי וחרמות וחשה תחושות אשמה רבות על כך שחשפה את המעשים וכתוצאה מכך הוריה התגרשו. נוכח חומרת מסכת המעשים, ריבויים וגיל הקטינה עתרה המאשימה למתחם שנע בין 15-12 שנות מאסר. המאשימה סבורה שאין ליתן משקל ממשי להודאת הנאשם שלא ייתרה את עדות א.א, העדות הייתה קשה למתלוננת, היא בכתה והייתה שרויה במצוקה ובסערת רגשות. עוד סבורה שתסקירו של הנאשם אינו חיובי ומלמד על סיכון להישנות התנהגות פוגענית. לצד זאת, סבורה שיש ליתן משקל לכך שהנאשם הודה לבסוף, בתום הליך גישור, נעדר עבר פלילי והפקיד פיצוי בסך 100,000 ₪ לטובת המתלוננת. לפיכך עתרה המאשימה לגזור על הנאשם 13 שנות מאסר, ענישה נלווית ופיצוי נוסף. </w:t>
            </w:r>
          </w:p>
          <w:p w:rsidR="008910A6" w:rsidRDefault="008910A6" w:rsidP="008910A6">
            <w:pPr>
              <w:spacing w:line="360" w:lineRule="auto"/>
              <w:ind w:left="720"/>
              <w:jc w:val="both"/>
              <w:rPr>
                <w:color w:val="000000"/>
                <w:rtl/>
              </w:rPr>
            </w:pPr>
          </w:p>
          <w:p w:rsidR="008910A6" w:rsidRDefault="008910A6" w:rsidP="008910A6">
            <w:pPr>
              <w:numPr>
                <w:ilvl w:val="0"/>
                <w:numId w:val="2"/>
              </w:numPr>
              <w:spacing w:line="360" w:lineRule="auto"/>
              <w:jc w:val="both"/>
              <w:rPr>
                <w:color w:val="000000"/>
              </w:rPr>
            </w:pPr>
            <w:r>
              <w:rPr>
                <w:color w:val="000000"/>
                <w:rtl/>
              </w:rPr>
              <w:t xml:space="preserve">ב"כ הנאשם, עוה"ד יובל זמר ושרית קוטלובסקי, לא חלקו על כך שמעשי הנאשם חמורים, מכוערים וקשים אך סברו שנוכח הודאתו במיוחס לו ונסיבותיו ראוי לגזור עליו עונש מאסר מתון משמעותית מזה שלו עתרה המאשימה. לטענתם עדות המתלוננת לא נשמעה לשווא, כתב האישום תוקן והופחת מספר הפגיעות המיניות. עוד נטען שמדובר במעשי סדום ברף נמוך על גבול המעשה המגונה. לטענת ההגנה מנעד הענישה בעבירות מין בתוך המשפחה רחב, ובמקרים דומים נגזרו על נאשמים עונשי מאסר לא ארוכים, על כן עתרה למתחם הנע בין 7-4 שנות מאסר. אשר לנסיבות הנאשם, נטען כי הוא אינו צעיר, ללא עבר, אהוב על חבריו ושכניו ועצור לראשונה בחייו. לטענת ההגנה תסקירו חיובי, הנאשם מגלה נכונות טיפולית, מבטא אמפתיה למתלוננת וניכר שעובר תהליך שהחל בהכחשה והתקדם ללקיחת אחריות כנה ונזקקות טיפולית. לפיכך מבוקש למקם את עונשו בתחתית המתחם. מוסכם על ההגנה שייגזר על הנאשם פיצוי נוסף, עם זאת נטען שהוא כיום חסר כל ונתמך ע"י משפחתו.  </w:t>
            </w:r>
          </w:p>
          <w:p w:rsidR="008910A6" w:rsidRDefault="008910A6" w:rsidP="008910A6">
            <w:pPr>
              <w:spacing w:line="360" w:lineRule="auto"/>
              <w:ind w:left="720"/>
              <w:jc w:val="both"/>
              <w:rPr>
                <w:color w:val="000000"/>
              </w:rPr>
            </w:pPr>
            <w:r>
              <w:rPr>
                <w:color w:val="000000"/>
                <w:rtl/>
              </w:rPr>
              <w:t xml:space="preserve">הצדדים הגישו אסופות פסיקה לתמיכה בטיעוניהם. </w:t>
            </w:r>
          </w:p>
          <w:p w:rsidR="008910A6" w:rsidRDefault="008910A6" w:rsidP="008910A6">
            <w:pPr>
              <w:spacing w:line="360" w:lineRule="auto"/>
              <w:ind w:left="720"/>
              <w:jc w:val="both"/>
              <w:rPr>
                <w:color w:val="000000"/>
              </w:rPr>
            </w:pPr>
          </w:p>
          <w:p w:rsidR="008910A6" w:rsidRDefault="008910A6" w:rsidP="008910A6">
            <w:pPr>
              <w:pStyle w:val="ae"/>
              <w:numPr>
                <w:ilvl w:val="0"/>
                <w:numId w:val="2"/>
              </w:numPr>
              <w:spacing w:line="360" w:lineRule="auto"/>
              <w:jc w:val="both"/>
              <w:rPr>
                <w:rFonts w:eastAsia="Times New Roman"/>
                <w:color w:val="000000"/>
                <w:rtl/>
              </w:rPr>
            </w:pPr>
            <w:r>
              <w:rPr>
                <w:rFonts w:eastAsia="Times New Roman" w:hint="cs"/>
                <w:color w:val="000000"/>
                <w:rtl/>
              </w:rPr>
              <w:t>הנאשם בדבריו לעונש הביע חרטה עמוקה על מעשיו, התנצל שפגע בבתו ובכל המשפחה. הנאשם הוסיף כי מקווה שבתו תסלח לו ושרוצה להמשיך להיות אביה.</w:t>
            </w:r>
          </w:p>
          <w:p w:rsidR="008910A6" w:rsidRDefault="008910A6" w:rsidP="008910A6">
            <w:pPr>
              <w:pStyle w:val="ae"/>
              <w:spacing w:line="360" w:lineRule="auto"/>
              <w:jc w:val="both"/>
              <w:rPr>
                <w:rFonts w:eastAsia="Times New Roman"/>
                <w:color w:val="000000"/>
                <w:rtl/>
              </w:rPr>
            </w:pPr>
          </w:p>
          <w:p w:rsidR="008910A6" w:rsidRDefault="008910A6" w:rsidP="008910A6">
            <w:pPr>
              <w:spacing w:line="360" w:lineRule="auto"/>
              <w:jc w:val="both"/>
              <w:rPr>
                <w:bCs/>
                <w:u w:val="single"/>
                <w:lang w:eastAsia="he-IL"/>
              </w:rPr>
            </w:pPr>
            <w:r>
              <w:rPr>
                <w:bCs/>
                <w:sz w:val="28"/>
                <w:szCs w:val="28"/>
                <w:u w:val="single"/>
                <w:rtl/>
                <w:lang w:eastAsia="he-IL"/>
              </w:rPr>
              <w:t xml:space="preserve">דיון והכרעה </w:t>
            </w:r>
          </w:p>
          <w:p w:rsidR="008910A6" w:rsidRDefault="008910A6" w:rsidP="008910A6">
            <w:pPr>
              <w:spacing w:after="120" w:line="360" w:lineRule="auto"/>
              <w:jc w:val="both"/>
              <w:rPr>
                <w:bCs/>
                <w:u w:val="single"/>
                <w:lang w:eastAsia="he-IL"/>
              </w:rPr>
            </w:pPr>
            <w:r>
              <w:rPr>
                <w:bCs/>
                <w:u w:val="single"/>
                <w:rtl/>
                <w:lang w:eastAsia="he-IL"/>
              </w:rPr>
              <w:lastRenderedPageBreak/>
              <w:t>קביעת מתחם העונש ההולם</w:t>
            </w:r>
          </w:p>
          <w:p w:rsidR="008910A6" w:rsidRDefault="008910A6" w:rsidP="008910A6">
            <w:pPr>
              <w:numPr>
                <w:ilvl w:val="0"/>
                <w:numId w:val="2"/>
              </w:numPr>
              <w:spacing w:line="360" w:lineRule="auto"/>
              <w:jc w:val="both"/>
              <w:rPr>
                <w:rFonts w:ascii="David" w:hAnsi="David"/>
                <w:color w:val="000000"/>
                <w:rtl/>
              </w:rPr>
            </w:pPr>
            <w:r>
              <w:rPr>
                <w:color w:val="000000"/>
                <w:rtl/>
              </w:rPr>
              <w:t xml:space="preserve">כתב האישום מתאר ריבוי מעשים מגונים ומעשי סדום אשר ביצע הנאשם לאורך תקופה כלפי בתו הקטינה, עצמו ובשרו. בהתאם למבחני הפסיקה, כפי שנקבעו בע"פ 4910/13 </w:t>
            </w:r>
            <w:r>
              <w:rPr>
                <w:b/>
                <w:bCs/>
                <w:color w:val="000000"/>
                <w:rtl/>
              </w:rPr>
              <w:t>ג'אבר נ' מדינת ישראל</w:t>
            </w:r>
            <w:r>
              <w:rPr>
                <w:color w:val="000000"/>
                <w:rtl/>
              </w:rPr>
              <w:t xml:space="preserve"> (29.10.2014), ניתן לראות במכלול המעשים מסכת אחת של מעשי עבירה שקיים ביניהם קשר ענייני הדוק ומקים אירוע עברייני אחד אשר בגינו יש לקבוע </w:t>
            </w:r>
            <w:r>
              <w:rPr>
                <w:b/>
                <w:bCs/>
                <w:color w:val="000000"/>
                <w:rtl/>
              </w:rPr>
              <w:t>מתחם עונש הולם אחד</w:t>
            </w:r>
            <w:r>
              <w:rPr>
                <w:color w:val="000000"/>
                <w:rtl/>
              </w:rPr>
              <w:t xml:space="preserve">. </w:t>
            </w:r>
          </w:p>
          <w:p w:rsidR="008910A6" w:rsidRDefault="008910A6" w:rsidP="008910A6">
            <w:pPr>
              <w:spacing w:line="360" w:lineRule="auto"/>
              <w:ind w:left="720"/>
              <w:jc w:val="both"/>
              <w:rPr>
                <w:color w:val="000000"/>
              </w:rPr>
            </w:pPr>
          </w:p>
          <w:p w:rsidR="008910A6" w:rsidRDefault="008910A6" w:rsidP="008910A6">
            <w:pPr>
              <w:pStyle w:val="ae"/>
              <w:numPr>
                <w:ilvl w:val="0"/>
                <w:numId w:val="2"/>
              </w:numPr>
              <w:spacing w:line="360" w:lineRule="auto"/>
              <w:jc w:val="both"/>
              <w:rPr>
                <w:rFonts w:eastAsia="Times New Roman"/>
                <w:color w:val="000000"/>
              </w:rPr>
            </w:pPr>
            <w:r>
              <w:rPr>
                <w:rFonts w:ascii="Times New Roman" w:eastAsia="Times New Roman" w:hAnsi="Times New Roman" w:hint="cs"/>
                <w:rtl/>
              </w:rPr>
              <w:t xml:space="preserve">מעשיו הקשים של הנאשם כלפי בתו פגעו בשורה של ערכים מוגנים, ובראשם שמירה על כבודה, נפשה וגופה של המתלוננת, זכותה לאוטונומיה על גופה, תחושת ביטחונה האישי והאמון הטבוע בתא במשפחתי (ע"פ 8805/15 </w:t>
            </w:r>
            <w:r>
              <w:rPr>
                <w:rFonts w:ascii="Times New Roman" w:eastAsia="Times New Roman" w:hAnsi="Times New Roman" w:hint="cs"/>
                <w:b/>
                <w:bCs/>
                <w:rtl/>
              </w:rPr>
              <w:t>פלוני נ' מדינת ישראל</w:t>
            </w:r>
            <w:r>
              <w:rPr>
                <w:rFonts w:ascii="Times New Roman" w:eastAsia="Times New Roman" w:hAnsi="Times New Roman" w:hint="cs"/>
                <w:rtl/>
              </w:rPr>
              <w:t xml:space="preserve">, פסקה 26 (2.4.2017)). חומרה יתרה גלומה בעבירות מין המבוצעות בקטין על ידי הורהו, בתוך ביתו ובסביבה שבה הוא אמור לחוש בטוח ומוגן. בית המשפט העליון עמד על הצורך בענישה משמעותית בעבירות אלה, שתשקף את הפסול המוסרי שטמון בהן ואת סלידתה העמוקה של החברה מהמעשים, ותעניק ביטוי הולם לפגיעה החמורה בקטינים: </w:t>
            </w:r>
            <w:r>
              <w:rPr>
                <w:rFonts w:ascii="Times New Roman" w:eastAsia="Times New Roman" w:hAnsi="Times New Roman" w:hint="cs"/>
                <w:b/>
                <w:bCs/>
                <w:rtl/>
              </w:rPr>
              <w:t>"עבירות מין במשפחה הן מן החמורות בקשת העבירות, ובמיוחד כך, כאשר הן מתבצעות כלפי קטין חסר ישע ולאורך תקופה ארוכה של שנים. הנזק הכבד לקורבן, שלרוב אינו בר-תיקון, מחייב החמרה בדין כאמצעי גמול והתרעה" (</w:t>
            </w:r>
            <w:r>
              <w:rPr>
                <w:rFonts w:ascii="Times New Roman" w:eastAsia="Times New Roman" w:hAnsi="Times New Roman" w:hint="cs"/>
                <w:rtl/>
              </w:rPr>
              <w:t xml:space="preserve">ע"פ 2485/00 </w:t>
            </w:r>
            <w:r>
              <w:rPr>
                <w:rFonts w:ascii="Times New Roman" w:eastAsia="Times New Roman" w:hAnsi="Times New Roman" w:hint="cs"/>
                <w:b/>
                <w:bCs/>
                <w:rtl/>
              </w:rPr>
              <w:t xml:space="preserve">פלוני נ' מדינת ישראל, </w:t>
            </w:r>
            <w:r>
              <w:rPr>
                <w:rFonts w:ascii="Times New Roman" w:eastAsia="Times New Roman" w:hAnsi="Times New Roman" w:hint="cs"/>
                <w:rtl/>
              </w:rPr>
              <w:t>פ"ד נה (2) 918,</w:t>
            </w:r>
            <w:r>
              <w:rPr>
                <w:rFonts w:ascii="Times New Roman" w:eastAsia="Times New Roman" w:hAnsi="Times New Roman" w:hint="cs"/>
                <w:b/>
                <w:bCs/>
                <w:rtl/>
              </w:rPr>
              <w:t xml:space="preserve"> </w:t>
            </w:r>
            <w:r>
              <w:rPr>
                <w:rFonts w:ascii="Times New Roman" w:eastAsia="Times New Roman" w:hAnsi="Times New Roman" w:hint="cs"/>
                <w:rtl/>
              </w:rPr>
              <w:t>932</w:t>
            </w:r>
            <w:r>
              <w:rPr>
                <w:rFonts w:ascii="Times New Roman" w:eastAsia="Times New Roman" w:hAnsi="Times New Roman" w:hint="cs"/>
                <w:b/>
                <w:bCs/>
                <w:rtl/>
              </w:rPr>
              <w:t xml:space="preserve"> (2001)</w:t>
            </w:r>
            <w:r>
              <w:rPr>
                <w:rFonts w:ascii="Times New Roman" w:eastAsia="Times New Roman" w:hAnsi="Times New Roman" w:hint="cs"/>
                <w:rtl/>
              </w:rPr>
              <w:t>).</w:t>
            </w:r>
            <w:r>
              <w:rPr>
                <w:rFonts w:ascii="Times New Roman" w:eastAsia="Times New Roman" w:hAnsi="Times New Roman" w:hint="cs"/>
                <w:b/>
                <w:bCs/>
                <w:rtl/>
              </w:rPr>
              <w:t xml:space="preserve"> </w:t>
            </w:r>
            <w:r>
              <w:rPr>
                <w:rFonts w:ascii="Times New Roman" w:eastAsia="Times New Roman" w:hAnsi="Times New Roman" w:hint="cs"/>
                <w:rtl/>
              </w:rPr>
              <w:t>דגש מיוחד ניתן</w:t>
            </w:r>
            <w:r>
              <w:rPr>
                <w:rFonts w:ascii="Times New Roman" w:eastAsia="Times New Roman" w:hAnsi="Times New Roman" w:hint="cs"/>
                <w:b/>
                <w:bCs/>
                <w:rtl/>
              </w:rPr>
              <w:t xml:space="preserve"> </w:t>
            </w:r>
            <w:r>
              <w:rPr>
                <w:rFonts w:ascii="Times New Roman" w:eastAsia="Times New Roman" w:hAnsi="Times New Roman" w:hint="cs"/>
                <w:rtl/>
              </w:rPr>
              <w:t>לחומרה של עבירות מין שמבצע הורה בילדו</w:t>
            </w:r>
            <w:r>
              <w:rPr>
                <w:rFonts w:ascii="Times New Roman" w:eastAsia="Times New Roman" w:hAnsi="Times New Roman" w:hint="cs"/>
                <w:b/>
                <w:bCs/>
                <w:rtl/>
              </w:rPr>
              <w:t>, "מדרכו של עולם שילד גדל מתוך תלות ואמון מלא בהוריו ובקרובי משפחתו הבוגרים, בהם הוא רואה את משענתו והם משמשים לו מודל לחיקוי בעיצוב עולם מושגיו וערכיו. פגיעה מינית בקטין ע"י הורה או קרוב משפחה בגיר אחר, כגון סב או דוד, יוצרים שבר גדול בעולמו הפנימי של הילד שספק אם הוא בר איחוי. מדובר בהפרת אמון מהסוג הקשה והשפל ביותר" (</w:t>
            </w:r>
            <w:r>
              <w:rPr>
                <w:rFonts w:ascii="Times New Roman" w:eastAsia="Times New Roman" w:hAnsi="Times New Roman" w:hint="cs"/>
                <w:rtl/>
              </w:rPr>
              <w:t>ע"פ 3619/14</w:t>
            </w:r>
            <w:r>
              <w:rPr>
                <w:rFonts w:ascii="Times New Roman" w:eastAsia="Times New Roman" w:hAnsi="Times New Roman" w:hint="cs"/>
                <w:b/>
                <w:bCs/>
                <w:rtl/>
              </w:rPr>
              <w:t xml:space="preserve"> פלוני נ' מדינת ישראל, (</w:t>
            </w:r>
            <w:r>
              <w:rPr>
                <w:rFonts w:ascii="Times New Roman" w:eastAsia="Times New Roman" w:hAnsi="Times New Roman" w:hint="cs"/>
                <w:rtl/>
              </w:rPr>
              <w:t>3.9.2015)).</w:t>
            </w:r>
          </w:p>
          <w:p w:rsidR="008910A6" w:rsidRDefault="008910A6" w:rsidP="008910A6">
            <w:pPr>
              <w:pStyle w:val="ae"/>
              <w:spacing w:line="360" w:lineRule="auto"/>
              <w:jc w:val="both"/>
              <w:rPr>
                <w:rFonts w:ascii="Times New Roman" w:eastAsia="Times New Roman" w:hAnsi="Times New Roman"/>
              </w:rPr>
            </w:pPr>
          </w:p>
          <w:p w:rsidR="008910A6" w:rsidRDefault="008910A6" w:rsidP="008910A6">
            <w:pPr>
              <w:pStyle w:val="ae"/>
              <w:spacing w:line="360" w:lineRule="auto"/>
              <w:jc w:val="both"/>
              <w:rPr>
                <w:rFonts w:eastAsia="Times New Roman"/>
                <w:color w:val="000000"/>
              </w:rPr>
            </w:pPr>
            <w:r>
              <w:rPr>
                <w:rFonts w:ascii="Times New Roman" w:eastAsia="Times New Roman" w:hAnsi="Times New Roman" w:hint="cs"/>
                <w:rtl/>
              </w:rPr>
              <w:t xml:space="preserve">ועוד ראו: ע"פ 3615/18 </w:t>
            </w:r>
            <w:r>
              <w:rPr>
                <w:rFonts w:ascii="Times New Roman" w:eastAsia="Times New Roman" w:hAnsi="Times New Roman" w:hint="cs"/>
                <w:b/>
                <w:bCs/>
                <w:rtl/>
              </w:rPr>
              <w:t>פלוני נ' מדינת ישראל</w:t>
            </w:r>
            <w:r>
              <w:rPr>
                <w:rFonts w:ascii="Times New Roman" w:eastAsia="Times New Roman" w:hAnsi="Times New Roman" w:hint="cs"/>
                <w:rtl/>
              </w:rPr>
              <w:t xml:space="preserve"> (26.3.2020); ע"פ 5167/22 </w:t>
            </w:r>
            <w:r>
              <w:rPr>
                <w:rFonts w:ascii="Times New Roman" w:eastAsia="Times New Roman" w:hAnsi="Times New Roman" w:hint="cs"/>
                <w:b/>
                <w:bCs/>
                <w:rtl/>
              </w:rPr>
              <w:t>פלוני נ' מדינת ישראל</w:t>
            </w:r>
            <w:r>
              <w:rPr>
                <w:rFonts w:ascii="Times New Roman" w:eastAsia="Times New Roman" w:hAnsi="Times New Roman" w:hint="cs"/>
                <w:rtl/>
              </w:rPr>
              <w:t xml:space="preserve">, פסקה 31 (26.1.2023); ע"פ 1859/22 </w:t>
            </w:r>
            <w:r>
              <w:rPr>
                <w:rFonts w:ascii="Times New Roman" w:eastAsia="Times New Roman" w:hAnsi="Times New Roman" w:hint="cs"/>
                <w:b/>
                <w:bCs/>
                <w:rtl/>
              </w:rPr>
              <w:t xml:space="preserve">פלוני נ' מדינת </w:t>
            </w:r>
            <w:r>
              <w:rPr>
                <w:rFonts w:ascii="Times New Roman" w:eastAsia="Times New Roman" w:hAnsi="Times New Roman" w:hint="cs"/>
                <w:rtl/>
              </w:rPr>
              <w:t xml:space="preserve">ישראל, פסקה 18 (8.6.2022); ע"פ 4099/22 </w:t>
            </w:r>
            <w:r>
              <w:rPr>
                <w:rFonts w:ascii="Times New Roman" w:eastAsia="Times New Roman" w:hAnsi="Times New Roman" w:hint="cs"/>
                <w:b/>
                <w:bCs/>
                <w:rtl/>
              </w:rPr>
              <w:t>פלוני נ' מדינת ישראל</w:t>
            </w:r>
            <w:r>
              <w:rPr>
                <w:rFonts w:ascii="Times New Roman" w:eastAsia="Times New Roman" w:hAnsi="Times New Roman" w:hint="cs"/>
                <w:rtl/>
              </w:rPr>
              <w:t xml:space="preserve">, פסקה 6 (6.12.2022)).  </w:t>
            </w:r>
          </w:p>
          <w:p w:rsidR="008910A6" w:rsidRDefault="008910A6" w:rsidP="008910A6">
            <w:pPr>
              <w:spacing w:line="360" w:lineRule="auto"/>
              <w:ind w:left="1133" w:right="567"/>
              <w:jc w:val="both"/>
              <w:rPr>
                <w:color w:val="000000"/>
                <w:rtl/>
              </w:rPr>
            </w:pPr>
            <w:r>
              <w:rPr>
                <w:color w:val="000000"/>
                <w:spacing w:val="10"/>
                <w:sz w:val="14"/>
                <w:szCs w:val="14"/>
              </w:rPr>
              <w:t> </w:t>
            </w:r>
          </w:p>
          <w:p w:rsidR="008910A6" w:rsidRDefault="008910A6" w:rsidP="008910A6">
            <w:pPr>
              <w:numPr>
                <w:ilvl w:val="0"/>
                <w:numId w:val="2"/>
              </w:numPr>
              <w:spacing w:after="120" w:line="360" w:lineRule="auto"/>
              <w:jc w:val="both"/>
              <w:rPr>
                <w:color w:val="000000"/>
                <w:rtl/>
              </w:rPr>
            </w:pPr>
            <w:r>
              <w:rPr>
                <w:rtl/>
              </w:rPr>
              <w:t>רף חומרת עבירות המין במשפחה רחב ותלוי בין היתר בסוג העבירה, תדירותה, נסיבותיה, גיל הקורבן וטיב הקרבה בין הפוגע לנפגע</w:t>
            </w:r>
            <w:r>
              <w:rPr>
                <w:rFonts w:cs="Times New Roman" w:hint="cs"/>
                <w:rtl/>
              </w:rPr>
              <w:t xml:space="preserve">. </w:t>
            </w:r>
            <w:r>
              <w:rPr>
                <w:color w:val="000000"/>
                <w:rtl/>
              </w:rPr>
              <w:t xml:space="preserve">הנאשם שהוא אביה של א.א ביצע בה ריבוי מעשים מגונים ומעשי סדום, בתדירות רבה ובמספר הזדמנויות לא ידוע בעת שהייתה בגילאים 11-12.5 שנים. המעשים בוצעו בסלון ביתם, ללמדנו על התעוזה הרבה של הנאשם ועל חוסר יכולתו לשלוט על דחפיו המיניים. הנאשם ישב ליד המתלוננת בסלון, לעיתים ביקש ממנה להתיישב לצדו, הכניס את ידו מתחת לתחתוניה וביצע בה מסכת מעשים מגונים ומעשי סדום מסוגים שונים, הוא הכניס את ידו מתחת לתחתוניה, עיסה את ישבנה ואת פי הטבעת שלה, בחלק מההזדמנויות לחץ באצבעו לתוך פי הטבעת של הקטינה, בפעם אחרת ליטף את גבה, את ישבנה ואת פי הטבעת ולאחר מכן נשק ללחייה. מדובר במעשים מיניים ברף גבוה רובם בוצעו בישבנה ובפי הטבעת. הנאשם יכול היה לחדול ממעשיו בכל עת, הוא ניצל את מרותו כאב ואת האמון שנתנה בו, זאת כדי לספק את צרכיו המיניים. כעולה מתסקירה, בשלב </w:t>
            </w:r>
            <w:r>
              <w:rPr>
                <w:color w:val="000000"/>
                <w:rtl/>
              </w:rPr>
              <w:lastRenderedPageBreak/>
              <w:t>הראשוני לא הבינה, נוכח גילה הצעיר ותמימותה שמעשיו אסורים. הנזק הנפשי והרגשי שנגרם לא.א מביצוע העבירות משמעותי ורב. "</w:t>
            </w:r>
            <w:r>
              <w:rPr>
                <w:b/>
                <w:bCs/>
                <w:color w:val="000000"/>
                <w:rtl/>
              </w:rPr>
              <w:t>את היקפו של זה לא יידע איש לאמוד, אך זאת נדע כולנו – כי מעשים אלה צורבים כברזל מלובן נפשו של ילד ומותירים צלקות שלעולם לא תימחינה</w:t>
            </w:r>
            <w:r>
              <w:rPr>
                <w:color w:val="000000"/>
                <w:rtl/>
              </w:rPr>
              <w:t xml:space="preserve">" (דברי כב' השופטת ארבל בע"פ 10673/04 </w:t>
            </w:r>
            <w:r>
              <w:rPr>
                <w:b/>
                <w:bCs/>
                <w:color w:val="000000"/>
                <w:rtl/>
              </w:rPr>
              <w:t>פלוני נ' מדינת ישראל</w:t>
            </w:r>
            <w:r>
              <w:rPr>
                <w:color w:val="000000"/>
                <w:rtl/>
              </w:rPr>
              <w:t xml:space="preserve"> (01.06.2008)). מעשי הנאשם השפיעו על כל מישורי חייה, השלכותיהם פורטו בהרחבה בתסקיר שנערך על אודותיה. הפגיעה במתלוננת יצרה אדוות של פגיעה במעגל המשפחתי הקרוב, באמה ובאחיותיה, ולכך התווסף נזק ועוגמת נפש שנגרמו כתוצאה מהכפשות ושמועות שנפוצו על א.א מצד גורמים שונים. </w:t>
            </w:r>
          </w:p>
          <w:p w:rsidR="008910A6" w:rsidRDefault="008910A6" w:rsidP="008910A6">
            <w:pPr>
              <w:numPr>
                <w:ilvl w:val="0"/>
                <w:numId w:val="2"/>
              </w:numPr>
              <w:spacing w:line="360" w:lineRule="auto"/>
              <w:jc w:val="both"/>
              <w:rPr>
                <w:color w:val="000000"/>
                <w:rtl/>
              </w:rPr>
            </w:pPr>
            <w:r>
              <w:rPr>
                <w:color w:val="000000"/>
                <w:rtl/>
              </w:rPr>
              <w:t xml:space="preserve">בחינת </w:t>
            </w:r>
            <w:r>
              <w:rPr>
                <w:b/>
                <w:bCs/>
                <w:color w:val="000000"/>
                <w:rtl/>
              </w:rPr>
              <w:t xml:space="preserve">מידת הפגיעה בערכים המוגנים </w:t>
            </w:r>
            <w:r>
              <w:rPr>
                <w:color w:val="000000"/>
                <w:rtl/>
              </w:rPr>
              <w:t xml:space="preserve">מובילה למסקנה כי </w:t>
            </w:r>
            <w:r>
              <w:rPr>
                <w:b/>
                <w:bCs/>
                <w:color w:val="000000"/>
                <w:rtl/>
              </w:rPr>
              <w:t>היא ברף גבוה</w:t>
            </w:r>
            <w:r>
              <w:rPr>
                <w:color w:val="000000"/>
                <w:rtl/>
              </w:rPr>
              <w:t>. בהקשר זה נתנו דעתנו לריבוי הפגיעות ומִשכן, פערי הגילים, ניצול האמון ותמימותה של המתלוננת, והנזק הרב והמתמשך שנגרם לה.</w:t>
            </w:r>
          </w:p>
          <w:p w:rsidR="008910A6" w:rsidRDefault="008910A6" w:rsidP="008910A6">
            <w:pPr>
              <w:spacing w:line="360" w:lineRule="auto"/>
              <w:ind w:left="720"/>
              <w:jc w:val="both"/>
              <w:rPr>
                <w:color w:val="000000"/>
                <w:u w:val="single"/>
              </w:rPr>
            </w:pPr>
          </w:p>
          <w:p w:rsidR="008910A6" w:rsidRDefault="008910A6" w:rsidP="008910A6">
            <w:pPr>
              <w:spacing w:line="360" w:lineRule="auto"/>
              <w:ind w:left="720"/>
              <w:jc w:val="both"/>
              <w:rPr>
                <w:b/>
                <w:bCs/>
                <w:color w:val="000000"/>
                <w:u w:val="single"/>
              </w:rPr>
            </w:pPr>
            <w:r>
              <w:rPr>
                <w:b/>
                <w:bCs/>
                <w:color w:val="000000"/>
                <w:u w:val="single"/>
                <w:rtl/>
              </w:rPr>
              <w:t>מדינת הענישה הנוהגת</w:t>
            </w:r>
          </w:p>
          <w:p w:rsidR="008910A6" w:rsidRDefault="008910A6" w:rsidP="008910A6">
            <w:pPr>
              <w:numPr>
                <w:ilvl w:val="0"/>
                <w:numId w:val="2"/>
              </w:numPr>
              <w:spacing w:line="360" w:lineRule="auto"/>
              <w:jc w:val="both"/>
              <w:rPr>
                <w:rFonts w:ascii="David" w:hAnsi="David"/>
                <w:color w:val="000000"/>
                <w:rtl/>
              </w:rPr>
            </w:pPr>
            <w:r>
              <w:rPr>
                <w:color w:val="000000"/>
                <w:rtl/>
              </w:rPr>
              <w:t>רמת הענישה שהתוותה הפסיקה בעבירות מין בקטינים בגדרי התא המשפחתי קשה ומחמירה, "</w:t>
            </w:r>
            <w:r>
              <w:rPr>
                <w:b/>
                <w:bCs/>
                <w:color w:val="000000"/>
                <w:rtl/>
              </w:rPr>
              <w:t>ענישה זו אמורה לבטא סלידה עמוקה והוקעה חברתית, לזעוק את זעקת הקורבנות, לייצר תיקון מוסרי – ובעיקר לבודד ולהרתיע עבריינים פוטנציאלים, בפרט אלה הפוגעים בקטינים בתוך המשפחה</w:t>
            </w:r>
            <w:r>
              <w:rPr>
                <w:color w:val="000000"/>
                <w:rtl/>
              </w:rPr>
              <w:t xml:space="preserve">" (ע"פ 5617/19 </w:t>
            </w:r>
            <w:r>
              <w:rPr>
                <w:b/>
                <w:bCs/>
                <w:color w:val="000000"/>
                <w:rtl/>
              </w:rPr>
              <w:t>מדינת ישראל נ' פלוני</w:t>
            </w:r>
            <w:r>
              <w:rPr>
                <w:color w:val="000000"/>
                <w:rtl/>
              </w:rPr>
              <w:t xml:space="preserve">, פסקה 26  (26.8.21). בין מעשי המין בתוך המשפחה מתייחסת הפסיקה בחומרה יתרה לפגיעות מיניות של אב בילדיו, בעניינן נקבע כי יש לנקוט בענישה משמעותית שתבטא את שאט הנפש שהחברה חשה מפני גילוי עריות ופגיעה בנפשם ובגופם של ילדים, הנעשית בתוך ביתם (ראו ע"פ 2336/15 </w:t>
            </w:r>
            <w:r>
              <w:rPr>
                <w:b/>
                <w:bCs/>
                <w:color w:val="000000"/>
                <w:rtl/>
              </w:rPr>
              <w:t>פלוני נ'</w:t>
            </w:r>
            <w:r>
              <w:rPr>
                <w:color w:val="000000"/>
                <w:rtl/>
              </w:rPr>
              <w:t xml:space="preserve"> </w:t>
            </w:r>
            <w:r>
              <w:rPr>
                <w:b/>
                <w:bCs/>
                <w:color w:val="000000"/>
                <w:rtl/>
              </w:rPr>
              <w:t>מדינת ישראל</w:t>
            </w:r>
            <w:r>
              <w:rPr>
                <w:color w:val="000000"/>
                <w:rtl/>
              </w:rPr>
              <w:t xml:space="preserve">, פסקה 12 (10.1.2017). </w:t>
            </w:r>
          </w:p>
          <w:p w:rsidR="008910A6" w:rsidRDefault="008910A6" w:rsidP="008910A6">
            <w:pPr>
              <w:spacing w:line="360" w:lineRule="auto"/>
              <w:ind w:left="720"/>
              <w:jc w:val="both"/>
              <w:rPr>
                <w:color w:val="000000"/>
              </w:rPr>
            </w:pPr>
          </w:p>
          <w:p w:rsidR="008910A6" w:rsidRDefault="008910A6" w:rsidP="008910A6">
            <w:pPr>
              <w:numPr>
                <w:ilvl w:val="0"/>
                <w:numId w:val="2"/>
              </w:numPr>
              <w:spacing w:after="120" w:line="360" w:lineRule="auto"/>
              <w:ind w:left="714" w:hanging="357"/>
              <w:jc w:val="both"/>
              <w:rPr>
                <w:color w:val="000000"/>
              </w:rPr>
            </w:pPr>
            <w:r>
              <w:rPr>
                <w:color w:val="000000"/>
                <w:rtl/>
              </w:rPr>
              <w:t xml:space="preserve">בחינת </w:t>
            </w:r>
            <w:r>
              <w:rPr>
                <w:b/>
                <w:bCs/>
                <w:color w:val="000000"/>
                <w:rtl/>
              </w:rPr>
              <w:t>מדיניות הענישה הנוהגת</w:t>
            </w:r>
            <w:r>
              <w:rPr>
                <w:color w:val="000000"/>
                <w:rtl/>
              </w:rPr>
              <w:t xml:space="preserve"> מעלה כי במקרים דומים, שבהם הורשעו נאשמים בריבוי עבירות מין בתוך המשפחה, נגזרו עליהם עונשי מאסר חמורים.   </w:t>
            </w:r>
          </w:p>
          <w:p w:rsidR="008910A6" w:rsidRDefault="008910A6" w:rsidP="008910A6">
            <w:pPr>
              <w:numPr>
                <w:ilvl w:val="1"/>
                <w:numId w:val="1"/>
              </w:numPr>
              <w:tabs>
                <w:tab w:val="num" w:pos="1286"/>
              </w:tabs>
              <w:spacing w:after="120" w:line="360" w:lineRule="auto"/>
              <w:ind w:left="1286" w:hanging="540"/>
              <w:jc w:val="both"/>
            </w:pPr>
            <w:r>
              <w:rPr>
                <w:rtl/>
              </w:rPr>
              <w:t xml:space="preserve">בע"פ 5832/20 </w:t>
            </w:r>
            <w:r>
              <w:rPr>
                <w:b/>
                <w:bCs/>
                <w:rtl/>
              </w:rPr>
              <w:t>פלוני נ' מדינת ישראל</w:t>
            </w:r>
            <w:r>
              <w:rPr>
                <w:rtl/>
              </w:rPr>
              <w:t xml:space="preserve"> (22.8.21) נדחה ערעורו של נאשם, שהורשע לאחר שמיעת ראיות בביצוע סדרת מעשים מגונים ומעשה אינוס (החדרת אצבע) באחותה למחצה של אשתו כבת 15 במהלך תקופה של שנה וחצי, את המעשים ביצע בחדרה בבית הוריה. הנאשם כבן 35, נדון </w:t>
            </w:r>
            <w:r>
              <w:rPr>
                <w:b/>
                <w:bCs/>
                <w:rtl/>
              </w:rPr>
              <w:t>למאסר בן 8 שנים</w:t>
            </w:r>
            <w:r>
              <w:rPr>
                <w:rtl/>
              </w:rPr>
              <w:t xml:space="preserve">; </w:t>
            </w:r>
          </w:p>
          <w:p w:rsidR="008910A6" w:rsidRDefault="008910A6" w:rsidP="008910A6">
            <w:pPr>
              <w:numPr>
                <w:ilvl w:val="1"/>
                <w:numId w:val="1"/>
              </w:numPr>
              <w:tabs>
                <w:tab w:val="num" w:pos="1286"/>
              </w:tabs>
              <w:spacing w:after="120" w:line="360" w:lineRule="auto"/>
              <w:ind w:left="1286" w:hanging="540"/>
              <w:jc w:val="both"/>
            </w:pPr>
            <w:r>
              <w:rPr>
                <w:rtl/>
              </w:rPr>
              <w:t xml:space="preserve">בע"פ 2032/19 </w:t>
            </w:r>
            <w:r>
              <w:rPr>
                <w:b/>
                <w:bCs/>
                <w:rtl/>
              </w:rPr>
              <w:t>פלוני נ' מדינת ישראל</w:t>
            </w:r>
            <w:r>
              <w:rPr>
                <w:rtl/>
              </w:rPr>
              <w:t xml:space="preserve"> (14.6.20), נדחה ערעורו של נאשם שהורשע, לאחר שמיעת ראיות, בביצוע שתי עבירות אינוס, מספר מעשים מגונים (ליטוף איבר מין) והחדרת אצבע לאיבר מין (מעשה אינוס) והחדרת איבר מינו לפיה (מעשה סדום) בקטינה בת 10 במהלך תקופה שבה קיים קשר זוגי עם אימה. עוד הורשע בעבירת תקיפה כלפי אחותה. נקבע בגין עבירות המין מתחם שנע בין 10-16 שנות מאסר, על הנאשם נגזר עונש </w:t>
            </w:r>
            <w:r>
              <w:rPr>
                <w:b/>
                <w:bCs/>
                <w:rtl/>
              </w:rPr>
              <w:t>מאסר בן 14 שנים</w:t>
            </w:r>
            <w:r>
              <w:rPr>
                <w:rtl/>
              </w:rPr>
              <w:t xml:space="preserve">; </w:t>
            </w:r>
          </w:p>
          <w:p w:rsidR="008910A6" w:rsidRDefault="008910A6" w:rsidP="008910A6">
            <w:pPr>
              <w:numPr>
                <w:ilvl w:val="1"/>
                <w:numId w:val="1"/>
              </w:numPr>
              <w:tabs>
                <w:tab w:val="num" w:pos="1286"/>
              </w:tabs>
              <w:spacing w:after="120" w:line="360" w:lineRule="auto"/>
              <w:ind w:left="1286" w:hanging="540"/>
              <w:jc w:val="both"/>
            </w:pPr>
            <w:r>
              <w:rPr>
                <w:rtl/>
              </w:rPr>
              <w:t xml:space="preserve">בע"פ 7307/18 </w:t>
            </w:r>
            <w:r>
              <w:rPr>
                <w:b/>
                <w:bCs/>
                <w:rtl/>
              </w:rPr>
              <w:t>פלוני נ' מדינת ישראל</w:t>
            </w:r>
            <w:r>
              <w:rPr>
                <w:rtl/>
              </w:rPr>
              <w:t xml:space="preserve"> (11.11.2019), קיבל בית המשפט העליון את ערעור המדינה על קולת עונשו של נאשם אשר הורשע לאחר ניהול הוכחות ב-5 עבירות של מעשה סדום וריבוי מעשים מגונים </w:t>
            </w:r>
            <w:r>
              <w:rPr>
                <w:rtl/>
              </w:rPr>
              <w:lastRenderedPageBreak/>
              <w:t>בקטינה, בתה של בת זוגו. הנאשם נגע באבריה המוצנעים מעל ומתחת לבגדיה, נישק אותה על שפתיה וביצע בה מין אוראלי במספר הזדמנויות. בית המשפט המחוזי קבע מתחם עונש הנע בין 6 ל-12 שנות מאסר בפועל. הנאשם נעדר עבר פלילי נדון לעונש של 8.5 שנות מאסר בפועל לצד ענישה נלווית. בית המשפט העליון קבע כי מדובר בעונש מקל יתר על המידה ואינו משקף את חומרת המעשים והחמיר את עונשו ל-</w:t>
            </w:r>
            <w:r>
              <w:rPr>
                <w:b/>
                <w:bCs/>
                <w:rtl/>
              </w:rPr>
              <w:t>10 שנות מאסר בפועל</w:t>
            </w:r>
            <w:r>
              <w:rPr>
                <w:rtl/>
              </w:rPr>
              <w:t>;</w:t>
            </w:r>
          </w:p>
          <w:p w:rsidR="008910A6" w:rsidRDefault="008910A6" w:rsidP="008910A6">
            <w:pPr>
              <w:numPr>
                <w:ilvl w:val="1"/>
                <w:numId w:val="1"/>
              </w:numPr>
              <w:tabs>
                <w:tab w:val="num" w:pos="1286"/>
              </w:tabs>
              <w:spacing w:after="120" w:line="360" w:lineRule="auto"/>
              <w:ind w:left="1286" w:hanging="540"/>
              <w:jc w:val="both"/>
            </w:pPr>
            <w:r>
              <w:rPr>
                <w:rtl/>
              </w:rPr>
              <w:t xml:space="preserve">בע"פ 5518/17 </w:t>
            </w:r>
            <w:r>
              <w:rPr>
                <w:b/>
                <w:bCs/>
                <w:rtl/>
              </w:rPr>
              <w:t>פלוני נ' מדינת ישראל</w:t>
            </w:r>
            <w:r>
              <w:rPr>
                <w:rtl/>
              </w:rPr>
              <w:t xml:space="preserve"> (17.6.2018) נדון עניינו של נאשם שהורשע, לאחר שמיעת ראיות, בכך שב-10 הזדמנויות במהלך שנה ביצע בגיסתו הקטינה מעשים מגונים, מעשי סדום ואינוס בדרך של החדרת אצבע. על הנאשם נגזרו </w:t>
            </w:r>
            <w:r>
              <w:rPr>
                <w:b/>
                <w:bCs/>
                <w:rtl/>
              </w:rPr>
              <w:t>11 שנות מאסר</w:t>
            </w:r>
            <w:r>
              <w:rPr>
                <w:rtl/>
              </w:rPr>
              <w:t xml:space="preserve">, ערעורו על חומרת העונש נדחה. </w:t>
            </w:r>
          </w:p>
          <w:p w:rsidR="008910A6" w:rsidRDefault="008910A6" w:rsidP="008910A6">
            <w:pPr>
              <w:numPr>
                <w:ilvl w:val="1"/>
                <w:numId w:val="1"/>
              </w:numPr>
              <w:tabs>
                <w:tab w:val="num" w:pos="1286"/>
              </w:tabs>
              <w:spacing w:line="360" w:lineRule="auto"/>
              <w:ind w:left="1286" w:hanging="540"/>
              <w:jc w:val="both"/>
            </w:pPr>
            <w:r>
              <w:rPr>
                <w:rtl/>
              </w:rPr>
              <w:t xml:space="preserve">בע"פ 2599/16 </w:t>
            </w:r>
            <w:r>
              <w:rPr>
                <w:b/>
                <w:bCs/>
                <w:rtl/>
              </w:rPr>
              <w:t>פלוני נ' מדינת ישראל</w:t>
            </w:r>
            <w:r>
              <w:rPr>
                <w:rtl/>
              </w:rPr>
              <w:t xml:space="preserve"> (14.1.18) הורשע נאשם בביצוע עבירות מין בשתיים מבנותיו. במסגרת האישום הראשון והשלישי הורשע הנאשם במספר מעשים מגונים (ליטוף איבר מין וחיכוך איבר מין באיבר מין) ובמעשה סדום בבתו בת ה-10, במסגרת האישום השני הורשע הנאשם במספר מעשים מגונים בנסיבות דומות בבתו בת ה-11. הנאשם הורשע  על יסוד הודאתו, נקבע מתחם עונש כולל בין 12-17 שנות מאסר. הנאשם, ללא עבר פלילי, שירת כקצין בצה"ל, נדון למאסר בן 15 שנים. בית המשפט העליון דחה את ערעור הנאשם וקבע כי חרף נסיבותיו החיוביות והודאתו, נוכח שיקולי גמול והרתעה, בצדק העמיד בית המשפט את עונשו במרכז המתחם. </w:t>
            </w:r>
          </w:p>
          <w:p w:rsidR="008910A6" w:rsidRDefault="008910A6" w:rsidP="008910A6">
            <w:pPr>
              <w:spacing w:line="360" w:lineRule="auto"/>
              <w:ind w:left="1274"/>
              <w:jc w:val="both"/>
            </w:pPr>
          </w:p>
          <w:p w:rsidR="008910A6" w:rsidRDefault="008910A6" w:rsidP="008910A6">
            <w:pPr>
              <w:tabs>
                <w:tab w:val="num" w:pos="1620"/>
              </w:tabs>
              <w:spacing w:line="360" w:lineRule="auto"/>
              <w:ind w:left="720"/>
              <w:jc w:val="both"/>
            </w:pPr>
            <w:r>
              <w:rPr>
                <w:rtl/>
              </w:rPr>
              <w:t xml:space="preserve">המאשימה עתרה, כזכור, למתחם ענישה הנע בין 12-15 שנות מאסר אלא שהפסיקה עליה התבססה היא ברובה </w:t>
            </w:r>
            <w:r>
              <w:rPr>
                <w:b/>
                <w:bCs/>
                <w:rtl/>
              </w:rPr>
              <w:t>בנסיבות חמורות יותר,</w:t>
            </w:r>
            <w:r>
              <w:rPr>
                <w:rtl/>
              </w:rPr>
              <w:t xml:space="preserve"> כך בע"פ 781/19 </w:t>
            </w:r>
            <w:r>
              <w:rPr>
                <w:b/>
                <w:bCs/>
                <w:rtl/>
              </w:rPr>
              <w:t>פלוני נ' מדינת ישראל</w:t>
            </w:r>
            <w:r>
              <w:rPr>
                <w:rtl/>
              </w:rPr>
              <w:t xml:space="preserve"> (31.1.2021) נדחה ערעור נאשם שהורשע לאחר שמיעת ראיות בעבירות של מעשה סדום (החדרת איבר מינו לפי המתלוננת), אינוס (בדרך של החדרת אצבעות לאיבר מינה של המתלוננת) ומעשים מגונים בבתו, תוך שימוש בכח ובאיומים, מאז היתה בת 15 ולמשך שנתיים. בית המשפט המחוזי קבע מתחם עונש הנע בין 12 ל-20 שנות מאסר בפועל, הנאשם נדון למאסר בן 17.5 שנים</w:t>
            </w:r>
            <w:r>
              <w:rPr>
                <w:b/>
                <w:bCs/>
                <w:rtl/>
              </w:rPr>
              <w:t xml:space="preserve">; </w:t>
            </w:r>
            <w:r>
              <w:rPr>
                <w:rtl/>
              </w:rPr>
              <w:t xml:space="preserve">בע"פ 2331/13 </w:t>
            </w:r>
            <w:r>
              <w:rPr>
                <w:b/>
                <w:bCs/>
                <w:rtl/>
              </w:rPr>
              <w:t>פלוני נ' מדינת ישראל (</w:t>
            </w:r>
            <w:r>
              <w:rPr>
                <w:rtl/>
              </w:rPr>
              <w:t xml:space="preserve">13.10.15) נדחה ערעור נאשם שנדון למאסר בן 12 שנים בגין עבירות מין ואלימות בבתו. הנאשם הורשע, לאחר שמיעת ראיות, במסכת עבירות מעשים מגונים וניסיון להחדרת את איבר מינו לפי בתו, המעשים בוצעו במהלך 4 שנים, כשהמתלוננת הייתה בגילאים 12-16 שנים, חלקם בוצעו תוך שימוש בכח. עוד הורשע בריבוי עבירות אלימות כלפיה. </w:t>
            </w:r>
          </w:p>
          <w:p w:rsidR="008910A6" w:rsidRDefault="008910A6" w:rsidP="008910A6">
            <w:pPr>
              <w:spacing w:line="360" w:lineRule="auto"/>
              <w:ind w:left="1274"/>
              <w:jc w:val="both"/>
              <w:rPr>
                <w:rtl/>
              </w:rPr>
            </w:pPr>
          </w:p>
          <w:p w:rsidR="008910A6" w:rsidRDefault="008910A6" w:rsidP="008910A6">
            <w:pPr>
              <w:spacing w:line="360" w:lineRule="auto"/>
              <w:ind w:left="720"/>
              <w:jc w:val="both"/>
            </w:pPr>
            <w:r>
              <w:rPr>
                <w:rtl/>
              </w:rPr>
              <w:t xml:space="preserve">מן העבר השני עתרה ההגנה למתחם הענישה, 4-7 שנות מאסר, שאינו משקף את רמת הענישה הנוהגת בנסיבות מקרים כמו זה שבפנינו אלא מקרים פחותים משמעותית בחומרתם. כך, לשם הדוגמה, בע"פ 4846/13 </w:t>
            </w:r>
            <w:r>
              <w:rPr>
                <w:b/>
                <w:bCs/>
                <w:rtl/>
              </w:rPr>
              <w:t>פלוני נ' מדינת ישראל</w:t>
            </w:r>
            <w:r>
              <w:rPr>
                <w:rtl/>
              </w:rPr>
              <w:t xml:space="preserve"> (18.6.14), הורשע נאשם שביצע מעשים מגונים בבתו החורגת, נגע בחזה, הניח את ידיה על איבר מינו ונגע באיבריה האינטימיים ללא החדרת אצבעות, נקבע מתחם הנע בין 4-7 שנות המאסר. על הנאשם נגזרו 5 שנות מאסר. ערעורו נדחה; בע"פ 3934/12 </w:t>
            </w:r>
            <w:r>
              <w:rPr>
                <w:b/>
                <w:bCs/>
                <w:rtl/>
              </w:rPr>
              <w:t>פלוני נ' מדינת</w:t>
            </w:r>
            <w:r>
              <w:rPr>
                <w:rtl/>
              </w:rPr>
              <w:t xml:space="preserve"> </w:t>
            </w:r>
            <w:r>
              <w:rPr>
                <w:b/>
                <w:bCs/>
                <w:rtl/>
              </w:rPr>
              <w:t>ישראל</w:t>
            </w:r>
            <w:r>
              <w:rPr>
                <w:rtl/>
              </w:rPr>
              <w:t xml:space="preserve"> (18.2.13) נדחה ערעור נאשם שהורשע בביצוע שש עבירות של מעשים מגונים בבתו הקטינה (בין היתר, נגיעה באיבר מינה ללא החדרת אצבעות ונגיעה באיבר </w:t>
            </w:r>
            <w:r>
              <w:rPr>
                <w:rtl/>
              </w:rPr>
              <w:lastRenderedPageBreak/>
              <w:t xml:space="preserve">מינו). הנאשם, נעדר עבר פלילי, בעל רקע בטחוני, חשף את המעשים מיוזמתו, נדון למאסר בן 8 שנים. עוד עיינו בפסיקה אליה הפנתה ההגנה, בדגש על ע"פ 3619/14 </w:t>
            </w:r>
            <w:r>
              <w:rPr>
                <w:b/>
                <w:bCs/>
                <w:rtl/>
              </w:rPr>
              <w:t>פלוני נ' מדינת ישראל</w:t>
            </w:r>
            <w:r>
              <w:rPr>
                <w:rtl/>
              </w:rPr>
              <w:t xml:space="preserve"> (3.9.15), שממנו ביקשה ההגנה לגזור גזירה שווה. המדובר בנאשם שהורשע בריבוי מעשים מגונים, מעשה אינוס והתעללות בנכדתו בת ה-5. הנאשם ניהל הוכחות, נדון למאסר בן 7.5 שנים. בית המשפט העליון קיבל את ערעור המדינה, קבע כי העונש שהוטל על הנאשם סוטה באופן מובהק לקולא ואינו משקף את חומרת המעשים והעמיד את עונשו, מבלי למצות את הדין, על 9 שנות מאסר. אמירותיו הנוקבות של בית המשפט העליון בנוגע לחומרת עבירות מין במשפחה תואמת היטב את מדיניות הענישה הנוהגת. </w:t>
            </w:r>
          </w:p>
          <w:p w:rsidR="008910A6" w:rsidRDefault="008910A6" w:rsidP="008910A6">
            <w:pPr>
              <w:spacing w:line="360" w:lineRule="auto"/>
              <w:jc w:val="both"/>
              <w:rPr>
                <w:rtl/>
              </w:rPr>
            </w:pPr>
          </w:p>
          <w:p w:rsidR="008910A6" w:rsidRDefault="008910A6" w:rsidP="008910A6">
            <w:pPr>
              <w:numPr>
                <w:ilvl w:val="0"/>
                <w:numId w:val="2"/>
              </w:numPr>
              <w:spacing w:after="120" w:line="360" w:lineRule="auto"/>
              <w:jc w:val="both"/>
              <w:rPr>
                <w:rFonts w:ascii="David" w:hAnsi="David"/>
                <w:color w:val="000000"/>
                <w:rtl/>
              </w:rPr>
            </w:pPr>
            <w:r>
              <w:rPr>
                <w:b/>
                <w:bCs/>
                <w:color w:val="000000"/>
                <w:rtl/>
              </w:rPr>
              <w:t>עונש מזערי</w:t>
            </w:r>
            <w:r>
              <w:rPr>
                <w:color w:val="000000"/>
                <w:rtl/>
              </w:rPr>
              <w:t xml:space="preserve"> – סעיף 355 בחוק העונשין קובע עונש מזערי שלא יפחת מרבע העונש המרבי שנקבע לאותה עבירה, אלא בהתקיים טעמים מיוחדים שיירשמו. עונש זה כולל את המאסר בפועל ואת המאסר על תנאי, ואולם נקבע כי לא יהיה, בהעדר טעמים מיוחדים, כולו על תנאי. במקרה זה העונש המרבי בגין עבירה של מעשה סדום בבן משפחה עומד על 20 שנות מאסר, ומכאן שהעונש המזערי עומד על 5 שנות מאסר. לעונש המזערי שקבע המחוקק ראוי שתהיה השפעה גם על מתחם העונש ההולם (אשר מתייחס למאסר בפועל), כך שככלל, אין לקבוע רף ענישה תחתון הנמוך מהעונש המזערי, אלא אם קיימים טעמים מיוחדים. לכך יש להוסיף את העובדה שבמקרה הנוכחי הורשע הנאשם בריבוי עבירות, ולא בעבירה יחידה, ומכאן שראוי כי הרף התחתון של המתחם יהיה גבוה באופן משמעותי מהעונש המזערי הקבוע לעבירה יחידה (ראו ע"פ 5006/21 </w:t>
            </w:r>
            <w:r>
              <w:rPr>
                <w:b/>
                <w:bCs/>
                <w:color w:val="000000"/>
                <w:rtl/>
              </w:rPr>
              <w:t>מדינת ישראל נ' פלוני</w:t>
            </w:r>
            <w:r>
              <w:rPr>
                <w:color w:val="000000"/>
                <w:rtl/>
              </w:rPr>
              <w:t xml:space="preserve"> (6.1.2022); ע"פ 8687/20 </w:t>
            </w:r>
            <w:r>
              <w:rPr>
                <w:b/>
                <w:bCs/>
                <w:color w:val="000000"/>
                <w:rtl/>
              </w:rPr>
              <w:t>פלוני נ' מדינת ישראל</w:t>
            </w:r>
            <w:r>
              <w:rPr>
                <w:color w:val="000000"/>
                <w:rtl/>
              </w:rPr>
              <w:t xml:space="preserve"> (29.8.2021); ע"פ 1288/17 </w:t>
            </w:r>
            <w:r>
              <w:rPr>
                <w:b/>
                <w:bCs/>
                <w:color w:val="000000"/>
                <w:rtl/>
              </w:rPr>
              <w:t>מדינת ישראל נ' שנהר</w:t>
            </w:r>
            <w:r>
              <w:rPr>
                <w:color w:val="000000"/>
                <w:rtl/>
              </w:rPr>
              <w:t xml:space="preserve"> (3.10.2017); 5617/19 </w:t>
            </w:r>
            <w:r>
              <w:rPr>
                <w:b/>
                <w:bCs/>
                <w:color w:val="000000"/>
                <w:rtl/>
              </w:rPr>
              <w:t>מדינת ישראל נ' פלוני</w:t>
            </w:r>
            <w:r>
              <w:rPr>
                <w:color w:val="000000"/>
                <w:rtl/>
              </w:rPr>
              <w:t xml:space="preserve"> (26.8.2021)). </w:t>
            </w:r>
          </w:p>
          <w:p w:rsidR="008910A6" w:rsidRDefault="008910A6" w:rsidP="008910A6">
            <w:pPr>
              <w:numPr>
                <w:ilvl w:val="0"/>
                <w:numId w:val="2"/>
              </w:numPr>
              <w:spacing w:after="120" w:line="360" w:lineRule="auto"/>
              <w:jc w:val="both"/>
              <w:rPr>
                <w:color w:val="000000"/>
              </w:rPr>
            </w:pPr>
            <w:r>
              <w:rPr>
                <w:color w:val="000000"/>
                <w:rtl/>
              </w:rPr>
              <w:t xml:space="preserve">בהתאם לתיקון 113 לחוק העונשין (סעיף 40 יג'), אנו קובעים כי </w:t>
            </w:r>
            <w:r>
              <w:rPr>
                <w:b/>
                <w:bCs/>
                <w:color w:val="000000"/>
                <w:rtl/>
              </w:rPr>
              <w:t xml:space="preserve">מתחם העונש ההולם נע בין 8-12 </w:t>
            </w:r>
            <w:r>
              <w:rPr>
                <w:color w:val="000000"/>
                <w:rtl/>
              </w:rPr>
              <w:t>שנות מאסר</w:t>
            </w:r>
            <w:r>
              <w:rPr>
                <w:b/>
                <w:bCs/>
                <w:color w:val="000000"/>
                <w:rtl/>
              </w:rPr>
              <w:t xml:space="preserve">. </w:t>
            </w:r>
          </w:p>
          <w:p w:rsidR="008910A6" w:rsidRDefault="008910A6" w:rsidP="008910A6">
            <w:pPr>
              <w:numPr>
                <w:ilvl w:val="0"/>
                <w:numId w:val="2"/>
              </w:numPr>
              <w:spacing w:after="120" w:line="360" w:lineRule="auto"/>
              <w:jc w:val="both"/>
              <w:rPr>
                <w:color w:val="000000"/>
              </w:rPr>
            </w:pPr>
            <w:r>
              <w:rPr>
                <w:color w:val="000000"/>
                <w:rtl/>
              </w:rPr>
              <w:t xml:space="preserve">במקרה דנן לא קיימים שיקולים אשר מצדיקים חריגה מהמתחם, לחומרה או לקולה. </w:t>
            </w:r>
          </w:p>
          <w:p w:rsidR="008910A6" w:rsidRDefault="008910A6" w:rsidP="008910A6">
            <w:pPr>
              <w:spacing w:after="120" w:line="360" w:lineRule="auto"/>
              <w:jc w:val="both"/>
              <w:rPr>
                <w:bCs/>
                <w:u w:val="single"/>
                <w:lang w:eastAsia="he-IL"/>
              </w:rPr>
            </w:pPr>
            <w:r>
              <w:rPr>
                <w:bCs/>
                <w:u w:val="single"/>
                <w:rtl/>
                <w:lang w:eastAsia="he-IL"/>
              </w:rPr>
              <w:t>גזירת העונש המתאים לנאשם</w:t>
            </w:r>
          </w:p>
          <w:p w:rsidR="008910A6" w:rsidRDefault="008910A6" w:rsidP="008910A6">
            <w:pPr>
              <w:numPr>
                <w:ilvl w:val="0"/>
                <w:numId w:val="2"/>
              </w:numPr>
              <w:spacing w:line="360" w:lineRule="auto"/>
              <w:jc w:val="both"/>
              <w:rPr>
                <w:rFonts w:ascii="David" w:hAnsi="David"/>
                <w:color w:val="000000"/>
              </w:rPr>
            </w:pPr>
            <w:r>
              <w:rPr>
                <w:color w:val="000000"/>
                <w:rtl/>
              </w:rPr>
              <w:t>הנאשם בן 55, גרוש ואב לשלוש בנות, נעדר עבר פלילי. כעולה מתסקירו ודברי חבריו שהעידו לטובתו, עובר למעצרו ניהל אורח חיים תקין, אהוד על סביבתו ותרם לקהילה. נראה כי מעורבותו בביצוע המעשים שבהם הורשע היכתה בתדהמה את חבריו ובני משפחתו. הנאשם הכחיש תחילה את המיוחס לו, לא חס על בתו ולא חסך את עדותה, רק בהמשך, לאחר הליך גישור, הודה והורשע בכתב אישום מתוקן. מתסקירו עולה כי מגלה מודעות ראשונית לחומרת מעשיו והשלכותיהם וביטא אמפתיה לבתו. הנאשם אף הודה כי סובל מבעיה בתחום המיני ומגלה נכונות טיפולית. עוד הופקד מטעמו פיצוי בסך 100,000 ₪ לטובת א.א.</w:t>
            </w:r>
          </w:p>
          <w:p w:rsidR="008910A6" w:rsidRDefault="008910A6" w:rsidP="008910A6">
            <w:pPr>
              <w:spacing w:line="360" w:lineRule="auto"/>
              <w:ind w:left="720"/>
              <w:jc w:val="both"/>
              <w:rPr>
                <w:color w:val="000000"/>
              </w:rPr>
            </w:pPr>
          </w:p>
          <w:p w:rsidR="008910A6" w:rsidRDefault="008910A6" w:rsidP="008910A6">
            <w:pPr>
              <w:numPr>
                <w:ilvl w:val="0"/>
                <w:numId w:val="2"/>
              </w:numPr>
              <w:spacing w:line="360" w:lineRule="auto"/>
              <w:jc w:val="both"/>
              <w:rPr>
                <w:color w:val="000000"/>
              </w:rPr>
            </w:pPr>
            <w:r>
              <w:rPr>
                <w:color w:val="000000"/>
                <w:rtl/>
              </w:rPr>
              <w:t xml:space="preserve"> </w:t>
            </w:r>
            <w:r>
              <w:rPr>
                <w:rFonts w:hint="cs"/>
                <w:color w:val="000000"/>
                <w:rtl/>
              </w:rPr>
              <w:t xml:space="preserve">בבואנו לקבוע את מיקום עונשו של הנאשם בגדרי המתחם נתנו משקל מחד לגילו, לעברו הנקי, להודאתו ולנכונותו להשתלב בטיפול בבעיותיו. הנאשם נטל אמנם אחריות מאוחרת על מעשיו, שהיא חשובה כשלעצמה אך לא ייתר את עדות המתלוננת על כל אי הנעימות והקשיים הכרוכים בכך. מעדותה, מתסקירה ומדברי אמה עלה, </w:t>
            </w:r>
            <w:r>
              <w:rPr>
                <w:rFonts w:hint="cs"/>
                <w:color w:val="000000"/>
                <w:rtl/>
              </w:rPr>
              <w:lastRenderedPageBreak/>
              <w:t xml:space="preserve">שבמשך תקופה ארוכה, טרם הודה הנאשם, נאלצה א.א ומשפחתה להתמודד בנוסף להשלכות הפגיעה עם יחסם העוין של בני משפחת הנאשם וחבריו וניסיונות להכפשת שמה (ראו גם עדותה, עמ' 51). טוב עשה הנאשם שהודה ונטל אחריות על מעשיו השפלים, יש להצטער שלא עשה כן טרם עדות בתו, לפיכך יינתן להודאתו משקל מוגבל. עוד יש ליתן את הדעת, כמצוות הפסיקה, לשיקולי הרתעת היחיד והרבים ולבכרם על פני התחשבות בנסיבותיו האישיות של הנאשם (ע"פ 6690/07 </w:t>
            </w:r>
            <w:r>
              <w:rPr>
                <w:rFonts w:hint="cs"/>
                <w:b/>
                <w:bCs/>
                <w:color w:val="000000"/>
                <w:rtl/>
              </w:rPr>
              <w:t>פלוני נ' מדינת ישראל</w:t>
            </w:r>
            <w:r>
              <w:rPr>
                <w:rFonts w:hint="cs"/>
                <w:color w:val="000000"/>
                <w:rtl/>
              </w:rPr>
              <w:t xml:space="preserve">, פסקה 6 (10.3.08); ע"פ 2336/15 </w:t>
            </w:r>
            <w:r>
              <w:rPr>
                <w:rFonts w:hint="cs"/>
                <w:b/>
                <w:bCs/>
                <w:color w:val="000000"/>
                <w:rtl/>
              </w:rPr>
              <w:t>פלוני נ' מדינת ישראל</w:t>
            </w:r>
            <w:r>
              <w:rPr>
                <w:rFonts w:hint="cs"/>
                <w:color w:val="000000"/>
                <w:rtl/>
              </w:rPr>
              <w:t xml:space="preserve">, פסקה 13 (10.1.17)).   </w:t>
            </w:r>
          </w:p>
          <w:p w:rsidR="008910A6" w:rsidRDefault="008910A6" w:rsidP="008910A6">
            <w:pPr>
              <w:pStyle w:val="ae"/>
              <w:rPr>
                <w:rFonts w:eastAsia="Times New Roman"/>
                <w:color w:val="000000"/>
              </w:rPr>
            </w:pPr>
          </w:p>
          <w:p w:rsidR="008910A6" w:rsidRDefault="008910A6" w:rsidP="008910A6">
            <w:pPr>
              <w:spacing w:after="120" w:line="360" w:lineRule="auto"/>
              <w:ind w:left="861" w:hanging="720"/>
              <w:jc w:val="both"/>
              <w:rPr>
                <w:b/>
                <w:bCs/>
                <w:color w:val="000000"/>
                <w:u w:val="single"/>
              </w:rPr>
            </w:pPr>
            <w:r>
              <w:rPr>
                <w:b/>
                <w:bCs/>
                <w:color w:val="000000"/>
                <w:u w:val="single"/>
                <w:rtl/>
              </w:rPr>
              <w:t>הפיצוי הכספי</w:t>
            </w:r>
          </w:p>
          <w:p w:rsidR="008910A6" w:rsidRDefault="008910A6" w:rsidP="008910A6">
            <w:pPr>
              <w:numPr>
                <w:ilvl w:val="0"/>
                <w:numId w:val="2"/>
              </w:numPr>
              <w:spacing w:after="120" w:line="360" w:lineRule="auto"/>
              <w:ind w:hanging="708"/>
              <w:jc w:val="both"/>
              <w:rPr>
                <w:color w:val="000000"/>
                <w:rtl/>
              </w:rPr>
            </w:pPr>
            <w:r>
              <w:rPr>
                <w:color w:val="000000"/>
                <w:rtl/>
              </w:rPr>
              <w:t xml:space="preserve">הנזק שנגרם לא.א נוכח המעשים שביצע בה הנאשם חמור ומקיף את כל מישורי חייה, כעולה מתסקירה נגרם לה נזק נפשי ותפקודי משמעותי. נכונות הנאשם, במסגרת ההסכמות בין הצדדים, להפקיד פיצוי בסך 100,000 ₪ לטובת המתלוננת תיזקף לטובתו ומעידה על רצון כן ואמיתי לקדם את שיקומה. תכליותיו של הפיצוי בהליך הפלילי הן, בין היתר, לתת ביטוי והכרה חברתית, במסגרת ההליך הפלילי, למעמדם ולסבלם של נפגעי העבירה, ובמקביל ולהעניק סעד מהיר יחסית לנפגעי העבירה, במטרה לסייע להם בשיקום חייהם. מובן הדבר שאין בכך כדי לשלול אפשרות מנפגעי העבירה להגיש הליך אזרחי בגין מלוא נזקיהם, ואולם אין בכך כדי לגרוע מתכליותיו האמורות של הפיצוי הפלילי. עוד נקבע שאין להתחשב במצבו הכלכלי של הנאשם (ראו דנ"פ 5625/16 </w:t>
            </w:r>
            <w:r>
              <w:rPr>
                <w:b/>
                <w:bCs/>
                <w:color w:val="000000"/>
                <w:rtl/>
              </w:rPr>
              <w:t>אסרף נ' טווק</w:t>
            </w:r>
            <w:r>
              <w:rPr>
                <w:color w:val="000000"/>
                <w:rtl/>
              </w:rPr>
              <w:t xml:space="preserve"> פס' 14 (13.9.17) 14; ע"פ 2649/21 </w:t>
            </w:r>
            <w:r>
              <w:rPr>
                <w:b/>
                <w:bCs/>
                <w:color w:val="000000"/>
                <w:rtl/>
              </w:rPr>
              <w:t>סילברה נ' מדינת ישראל</w:t>
            </w:r>
            <w:r>
              <w:rPr>
                <w:color w:val="000000"/>
                <w:rtl/>
              </w:rPr>
              <w:t xml:space="preserve"> , פס' 26 (19.2.23)). בנסיבות המקרה הנוכחי, מצאנו כי יש להשית על הנאשם פיצוי נוסף לטובת המתלוננת שיסייע לה להשקיע זמן וכסף בשיקומה. </w:t>
            </w:r>
          </w:p>
          <w:p w:rsidR="008910A6" w:rsidRDefault="008910A6" w:rsidP="008910A6">
            <w:pPr>
              <w:numPr>
                <w:ilvl w:val="0"/>
                <w:numId w:val="2"/>
              </w:numPr>
              <w:spacing w:after="120" w:line="360" w:lineRule="auto"/>
              <w:ind w:hanging="708"/>
              <w:jc w:val="both"/>
              <w:rPr>
                <w:color w:val="000000"/>
              </w:rPr>
            </w:pPr>
            <w:r>
              <w:rPr>
                <w:color w:val="000000"/>
                <w:rtl/>
              </w:rPr>
              <w:t xml:space="preserve">באיזון בין השיקולים השונים, אנו סבורים כי יש לגזור על הנאשם עונש בשליש התחתון של מתחם הענישה, לצד עונש מאסר מותנה ופיצוי משמעותי לנפגעת העבירה. </w:t>
            </w:r>
          </w:p>
          <w:p w:rsidR="008910A6" w:rsidRDefault="008910A6" w:rsidP="008910A6">
            <w:pPr>
              <w:spacing w:after="120" w:line="360" w:lineRule="auto"/>
              <w:jc w:val="both"/>
              <w:rPr>
                <w:b/>
                <w:bCs/>
                <w:u w:val="single"/>
              </w:rPr>
            </w:pPr>
            <w:r>
              <w:rPr>
                <w:b/>
                <w:bCs/>
                <w:u w:val="single"/>
                <w:rtl/>
              </w:rPr>
              <w:t>סוף דבר</w:t>
            </w:r>
          </w:p>
          <w:p w:rsidR="008910A6" w:rsidRDefault="008910A6" w:rsidP="008910A6">
            <w:pPr>
              <w:numPr>
                <w:ilvl w:val="0"/>
                <w:numId w:val="2"/>
              </w:numPr>
              <w:spacing w:after="120" w:line="360" w:lineRule="auto"/>
              <w:jc w:val="both"/>
              <w:rPr>
                <w:rFonts w:ascii="David" w:hAnsi="David"/>
                <w:color w:val="000000"/>
                <w:rtl/>
              </w:rPr>
            </w:pPr>
            <w:r>
              <w:rPr>
                <w:b/>
                <w:bCs/>
                <w:color w:val="000000"/>
                <w:u w:val="single"/>
                <w:rtl/>
              </w:rPr>
              <w:t>אשר על-כן, אנו גוזרים על הנאשם את העונשים הבאים</w:t>
            </w:r>
            <w:r>
              <w:rPr>
                <w:color w:val="000000"/>
                <w:rtl/>
              </w:rPr>
              <w:t>:</w:t>
            </w:r>
          </w:p>
          <w:p w:rsidR="008910A6" w:rsidRDefault="008910A6" w:rsidP="008910A6">
            <w:pPr>
              <w:numPr>
                <w:ilvl w:val="1"/>
                <w:numId w:val="1"/>
              </w:numPr>
              <w:tabs>
                <w:tab w:val="num" w:pos="1286"/>
              </w:tabs>
              <w:spacing w:after="120" w:line="360" w:lineRule="auto"/>
              <w:ind w:left="1287" w:hanging="539"/>
              <w:jc w:val="both"/>
              <w:rPr>
                <w:rtl/>
              </w:rPr>
            </w:pPr>
            <w:r>
              <w:rPr>
                <w:b/>
                <w:bCs/>
                <w:rtl/>
              </w:rPr>
              <w:t>9 שנות מאסר בפועל</w:t>
            </w:r>
            <w:r>
              <w:rPr>
                <w:rtl/>
              </w:rPr>
              <w:t xml:space="preserve"> אשר מניינן מיום מעצרו 25.10.22. </w:t>
            </w:r>
          </w:p>
          <w:p w:rsidR="008910A6" w:rsidRDefault="008910A6" w:rsidP="008910A6">
            <w:pPr>
              <w:numPr>
                <w:ilvl w:val="1"/>
                <w:numId w:val="1"/>
              </w:numPr>
              <w:tabs>
                <w:tab w:val="num" w:pos="1286"/>
              </w:tabs>
              <w:spacing w:after="120" w:line="360" w:lineRule="auto"/>
              <w:ind w:left="1287" w:hanging="540"/>
              <w:jc w:val="both"/>
            </w:pPr>
            <w:r>
              <w:rPr>
                <w:rtl/>
              </w:rPr>
              <w:t>12 חודשי מאסר על תנאי, לבל יעבור הנאשם במשך 3 שנים מיום שחרורו ממאסר כל עבירת מין מסוג פשע.</w:t>
            </w:r>
          </w:p>
          <w:p w:rsidR="008910A6" w:rsidRDefault="008910A6" w:rsidP="008910A6">
            <w:pPr>
              <w:numPr>
                <w:ilvl w:val="1"/>
                <w:numId w:val="1"/>
              </w:numPr>
              <w:tabs>
                <w:tab w:val="num" w:pos="1286"/>
              </w:tabs>
              <w:spacing w:after="120" w:line="360" w:lineRule="auto"/>
              <w:ind w:left="1287" w:hanging="540"/>
              <w:jc w:val="both"/>
            </w:pPr>
            <w:r>
              <w:rPr>
                <w:rtl/>
              </w:rPr>
              <w:t>6 חודשי מאסר על תנאי, לבל יעבור הנאשם במשך שנתיים מיום שחרורו ממאסר כל עבירת מין מסוג עוון.</w:t>
            </w:r>
          </w:p>
          <w:p w:rsidR="008910A6" w:rsidRDefault="008910A6" w:rsidP="008910A6">
            <w:pPr>
              <w:numPr>
                <w:ilvl w:val="1"/>
                <w:numId w:val="1"/>
              </w:numPr>
              <w:tabs>
                <w:tab w:val="num" w:pos="1286"/>
              </w:tabs>
              <w:spacing w:after="120" w:line="360" w:lineRule="auto"/>
              <w:ind w:left="1287" w:hanging="540"/>
              <w:jc w:val="both"/>
              <w:rPr>
                <w:lang w:eastAsia="he-IL"/>
              </w:rPr>
            </w:pPr>
            <w:r>
              <w:rPr>
                <w:rtl/>
                <w:lang w:eastAsia="he-IL"/>
              </w:rPr>
              <w:t xml:space="preserve">פיצוי בסך 150,000 ₪ למתלוננת. הפיצוי בסך 100,000 ₪ שהופקד יועבר למתלוננת. היתרה תשולם ב-10 תשלומים חודשיים שווים ורצופים, החל מיום 10.12.24. אם לא ישולם תשלום כלשהו במועדו, תעמוד היתרה לפירעון מיידי. </w:t>
            </w:r>
          </w:p>
          <w:p w:rsidR="008910A6" w:rsidRDefault="008910A6" w:rsidP="008910A6">
            <w:pPr>
              <w:spacing w:after="120" w:line="360" w:lineRule="auto"/>
              <w:ind w:left="720"/>
              <w:jc w:val="both"/>
              <w:rPr>
                <w:color w:val="000000"/>
                <w:lang w:eastAsia="he-IL"/>
              </w:rPr>
            </w:pPr>
          </w:p>
          <w:p w:rsidR="008910A6" w:rsidRDefault="008910A6" w:rsidP="008910A6">
            <w:pPr>
              <w:spacing w:after="120" w:line="360" w:lineRule="auto"/>
              <w:ind w:left="720"/>
              <w:jc w:val="both"/>
              <w:rPr>
                <w:color w:val="000000"/>
                <w:lang w:eastAsia="he-IL"/>
              </w:rPr>
            </w:pPr>
            <w:r>
              <w:rPr>
                <w:color w:val="000000"/>
                <w:rtl/>
                <w:lang w:eastAsia="he-IL"/>
              </w:rPr>
              <w:t xml:space="preserve">העתק גזר דין יישלח לעורכות תסקיר נפגעת עבירה ותסקיר הנאשם. </w:t>
            </w:r>
          </w:p>
          <w:p w:rsidR="008910A6" w:rsidRDefault="008910A6" w:rsidP="008910A6">
            <w:pPr>
              <w:spacing w:after="120" w:line="360" w:lineRule="auto"/>
              <w:ind w:firstLine="360"/>
              <w:jc w:val="both"/>
              <w:rPr>
                <w:b/>
                <w:bCs/>
                <w:rtl/>
                <w:lang w:eastAsia="he-IL"/>
              </w:rPr>
            </w:pPr>
            <w:r>
              <w:rPr>
                <w:b/>
                <w:bCs/>
                <w:rtl/>
                <w:lang w:eastAsia="he-IL"/>
              </w:rPr>
              <w:lastRenderedPageBreak/>
              <w:tab/>
              <w:t xml:space="preserve">זכות ערעור לבית-המשפט העליון תוך 45 ימים. </w:t>
            </w:r>
          </w:p>
          <w:p w:rsidR="008910A6" w:rsidRDefault="008910A6" w:rsidP="008910A6">
            <w:pPr>
              <w:rPr>
                <w:rFonts w:eastAsia="David"/>
                <w:rtl/>
              </w:rPr>
            </w:pPr>
          </w:p>
          <w:p w:rsidR="008910A6" w:rsidRDefault="008910A6" w:rsidP="008910A6">
            <w:pPr>
              <w:rPr>
                <w:rFonts w:ascii="Arial" w:hAnsi="Arial"/>
                <w:b/>
                <w:bCs/>
                <w:sz w:val="26"/>
                <w:szCs w:val="26"/>
                <w:rtl/>
              </w:rPr>
            </w:pPr>
          </w:p>
          <w:p w:rsidR="008910A6" w:rsidRDefault="008910A6" w:rsidP="008910A6">
            <w:pPr>
              <w:rPr>
                <w:rFonts w:ascii="Arial" w:hAnsi="Arial"/>
                <w:b/>
                <w:bCs/>
                <w:sz w:val="26"/>
                <w:szCs w:val="26"/>
                <w:rtl/>
              </w:rPr>
            </w:pPr>
          </w:p>
          <w:p w:rsidR="008910A6" w:rsidRDefault="008910A6" w:rsidP="008910A6">
            <w:pPr>
              <w:rPr>
                <w:rFonts w:ascii="Arial" w:hAnsi="Arial"/>
                <w:b/>
                <w:bCs/>
                <w:sz w:val="26"/>
                <w:szCs w:val="26"/>
                <w:rtl/>
              </w:rPr>
            </w:pPr>
          </w:p>
          <w:p w:rsidR="008910A6" w:rsidRDefault="008910A6" w:rsidP="008910A6">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ח' אלול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11 ספטמבר 2024</w:t>
                </w:r>
              </w:sdtContent>
            </w:sdt>
            <w:r>
              <w:rPr>
                <w:rFonts w:ascii="Arial" w:hAnsi="Arial"/>
                <w:b/>
                <w:bCs/>
                <w:sz w:val="26"/>
                <w:szCs w:val="26"/>
                <w:rtl/>
              </w:rPr>
              <w:t>, בנוכחות הצדדים.</w:t>
            </w:r>
          </w:p>
          <w:p w:rsidR="008910A6" w:rsidRDefault="008910A6" w:rsidP="008910A6">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B834FF98471C4AAB8EC1E245554CAB03"/>
                </w:placeholder>
                <w:showingPlcHdr/>
                <w:text w:multiLine="1"/>
              </w:sdtPr>
              <w:sdtEndPr/>
              <w:sdtContent>
                <w:r>
                  <w:rPr>
                    <w:rFonts w:ascii="Arial" w:hAnsi="Arial"/>
                    <w:b/>
                    <w:bCs/>
                    <w:sz w:val="26"/>
                    <w:szCs w:val="26"/>
                    <w:rtl/>
                  </w:rPr>
                  <w:t xml:space="preserve">    </w:t>
                </w:r>
              </w:sdtContent>
            </w:sdt>
          </w:p>
          <w:p w:rsidR="008910A6" w:rsidRDefault="008910A6" w:rsidP="008910A6">
            <w:pPr>
              <w:rPr>
                <w:rFonts w:cstheme="minorBidi"/>
                <w:sz w:val="28"/>
                <w:szCs w:val="28"/>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8910A6" w:rsidRDefault="008910A6" w:rsidP="008910A6">
            <w:pPr>
              <w:spacing w:line="360" w:lineRule="auto"/>
              <w:rPr>
                <w:sz w:val="22"/>
                <w:szCs w:val="22"/>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8910A6" w:rsidTr="008910A6">
              <w:tc>
                <w:tcPr>
                  <w:tcW w:w="3383" w:type="dxa"/>
                  <w:hideMark/>
                </w:tcPr>
                <w:p w:rsidR="008910A6" w:rsidRDefault="00E04C94" w:rsidP="008910A6">
                  <w:pPr>
                    <w:jc w:val="center"/>
                    <w:rPr>
                      <w:sz w:val="20"/>
                      <w:szCs w:val="20"/>
                      <w:rtl/>
                    </w:rPr>
                  </w:pPr>
                  <w:sdt>
                    <w:sdtPr>
                      <w:rPr>
                        <w:rFonts w:cs="Times New Roman"/>
                        <w:sz w:val="20"/>
                        <w:szCs w:val="20"/>
                        <w:rtl/>
                      </w:rPr>
                      <w:alias w:val="MergeField"/>
                      <w:tag w:val="2250"/>
                      <w:id w:val="-130406988"/>
                    </w:sdtPr>
                    <w:sdtEndPr/>
                    <w:sdtContent>
                      <w:r w:rsidR="008910A6">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8910A6" w:rsidRDefault="008910A6" w:rsidP="008910A6">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8910A6" w:rsidRDefault="008910A6" w:rsidP="008910A6">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8910A6" w:rsidRDefault="008910A6" w:rsidP="008910A6">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8910A6" w:rsidTr="008910A6">
              <w:tc>
                <w:tcPr>
                  <w:tcW w:w="3383" w:type="dxa"/>
                  <w:hideMark/>
                </w:tcPr>
                <w:p w:rsidR="008910A6" w:rsidRDefault="00E04C94" w:rsidP="008910A6">
                  <w:pPr>
                    <w:spacing w:line="360" w:lineRule="auto"/>
                    <w:jc w:val="center"/>
                    <w:rPr>
                      <w:rFonts w:ascii="David" w:hAnsi="David"/>
                    </w:rPr>
                  </w:pPr>
                  <w:sdt>
                    <w:sdtPr>
                      <w:rPr>
                        <w:rtl/>
                      </w:rPr>
                      <w:alias w:val="2235"/>
                      <w:tag w:val="2235"/>
                      <w:id w:val="1100069598"/>
                    </w:sdtPr>
                    <w:sdtEndPr/>
                    <w:sdtContent>
                      <w:r w:rsidR="008910A6">
                        <w:rPr>
                          <w:rFonts w:ascii="David" w:hAnsi="David"/>
                          <w:rtl/>
                        </w:rPr>
                        <w:t>עמי</w:t>
                      </w:r>
                    </w:sdtContent>
                  </w:sdt>
                  <w:r w:rsidR="008910A6">
                    <w:rPr>
                      <w:rFonts w:ascii="David" w:hAnsi="David"/>
                      <w:rtl/>
                    </w:rPr>
                    <w:t xml:space="preserve">  </w:t>
                  </w:r>
                  <w:sdt>
                    <w:sdtPr>
                      <w:rPr>
                        <w:rFonts w:cs="Times New Roman" w:hint="cs"/>
                        <w:rtl/>
                      </w:rPr>
                      <w:alias w:val="2240"/>
                      <w:tag w:val="2240"/>
                      <w:id w:val="825638415"/>
                    </w:sdtPr>
                    <w:sdtEndPr/>
                    <w:sdtContent>
                      <w:r w:rsidR="008910A6">
                        <w:rPr>
                          <w:rFonts w:ascii="David" w:hAnsi="David"/>
                          <w:rtl/>
                        </w:rPr>
                        <w:t>קובו</w:t>
                      </w:r>
                    </w:sdtContent>
                  </w:sdt>
                  <w:r w:rsidR="008910A6">
                    <w:rPr>
                      <w:rFonts w:ascii="David" w:hAnsi="David"/>
                      <w:rtl/>
                    </w:rPr>
                    <w:t xml:space="preserve">, </w:t>
                  </w:r>
                  <w:sdt>
                    <w:sdtPr>
                      <w:rPr>
                        <w:rFonts w:cs="Times New Roman" w:hint="cs"/>
                        <w:rtl/>
                      </w:rPr>
                      <w:alias w:val="2245"/>
                      <w:tag w:val="2245"/>
                      <w:id w:val="533847746"/>
                    </w:sdtPr>
                    <w:sdtEndPr/>
                    <w:sdtContent>
                      <w:r w:rsidR="008910A6">
                        <w:rPr>
                          <w:rFonts w:ascii="David" w:hAnsi="David"/>
                          <w:rtl/>
                        </w:rPr>
                        <w:t xml:space="preserve">שופט,                             סגן הנשיאה, </w:t>
                      </w:r>
                    </w:sdtContent>
                  </w:sdt>
                </w:p>
              </w:tc>
              <w:tc>
                <w:tcPr>
                  <w:tcW w:w="3536" w:type="dxa"/>
                  <w:hideMark/>
                </w:tcPr>
                <w:p w:rsidR="008910A6" w:rsidRDefault="00E04C94" w:rsidP="008910A6">
                  <w:pPr>
                    <w:spacing w:line="360" w:lineRule="auto"/>
                    <w:jc w:val="center"/>
                    <w:rPr>
                      <w:rFonts w:ascii="David" w:hAnsi="David"/>
                    </w:rPr>
                  </w:pPr>
                  <w:sdt>
                    <w:sdtPr>
                      <w:rPr>
                        <w:rtl/>
                      </w:rPr>
                      <w:alias w:val="2236"/>
                      <w:tag w:val="2236"/>
                      <w:id w:val="639300144"/>
                    </w:sdtPr>
                    <w:sdtEndPr/>
                    <w:sdtContent>
                      <w:r w:rsidR="008910A6">
                        <w:rPr>
                          <w:rFonts w:ascii="David" w:hAnsi="David"/>
                          <w:rtl/>
                        </w:rPr>
                        <w:t>מיכאל</w:t>
                      </w:r>
                    </w:sdtContent>
                  </w:sdt>
                  <w:r w:rsidR="008910A6">
                    <w:rPr>
                      <w:rFonts w:ascii="David" w:hAnsi="David"/>
                      <w:rtl/>
                    </w:rPr>
                    <w:t xml:space="preserve"> </w:t>
                  </w:r>
                  <w:sdt>
                    <w:sdtPr>
                      <w:rPr>
                        <w:rFonts w:cs="Times New Roman" w:hint="cs"/>
                        <w:rtl/>
                      </w:rPr>
                      <w:alias w:val="2241"/>
                      <w:tag w:val="2241"/>
                      <w:id w:val="-2097088705"/>
                    </w:sdtPr>
                    <w:sdtEndPr/>
                    <w:sdtContent>
                      <w:r w:rsidR="008910A6">
                        <w:rPr>
                          <w:rFonts w:ascii="David" w:hAnsi="David"/>
                          <w:rtl/>
                        </w:rPr>
                        <w:t>קרשן</w:t>
                      </w:r>
                    </w:sdtContent>
                  </w:sdt>
                  <w:r w:rsidR="008910A6">
                    <w:rPr>
                      <w:rFonts w:ascii="David" w:hAnsi="David"/>
                      <w:rtl/>
                    </w:rPr>
                    <w:t xml:space="preserve">, </w:t>
                  </w:r>
                  <w:sdt>
                    <w:sdtPr>
                      <w:rPr>
                        <w:rFonts w:cs="Times New Roman" w:hint="cs"/>
                        <w:rtl/>
                      </w:rPr>
                      <w:alias w:val="2246"/>
                      <w:tag w:val="2246"/>
                      <w:id w:val="-1989393221"/>
                    </w:sdtPr>
                    <w:sdtEndPr/>
                    <w:sdtContent>
                      <w:r w:rsidR="008910A6">
                        <w:rPr>
                          <w:rFonts w:ascii="David" w:hAnsi="David"/>
                          <w:rtl/>
                        </w:rPr>
                        <w:t>שופט</w:t>
                      </w:r>
                    </w:sdtContent>
                  </w:sdt>
                </w:p>
              </w:tc>
              <w:tc>
                <w:tcPr>
                  <w:tcW w:w="3341" w:type="dxa"/>
                  <w:hideMark/>
                </w:tcPr>
                <w:p w:rsidR="008910A6" w:rsidRDefault="00E04C94" w:rsidP="008910A6">
                  <w:pPr>
                    <w:spacing w:line="360" w:lineRule="auto"/>
                    <w:jc w:val="center"/>
                    <w:rPr>
                      <w:rFonts w:ascii="David" w:hAnsi="David"/>
                      <w:rtl/>
                    </w:rPr>
                  </w:pPr>
                  <w:sdt>
                    <w:sdtPr>
                      <w:rPr>
                        <w:rtl/>
                      </w:rPr>
                      <w:alias w:val="2237"/>
                      <w:tag w:val="2237"/>
                      <w:id w:val="-31890643"/>
                    </w:sdtPr>
                    <w:sdtEndPr/>
                    <w:sdtContent>
                      <w:r w:rsidR="008910A6">
                        <w:rPr>
                          <w:rFonts w:ascii="David" w:hAnsi="David"/>
                          <w:rtl/>
                        </w:rPr>
                        <w:t>מרב</w:t>
                      </w:r>
                    </w:sdtContent>
                  </w:sdt>
                  <w:r w:rsidR="008910A6">
                    <w:rPr>
                      <w:rFonts w:ascii="David" w:hAnsi="David"/>
                      <w:rtl/>
                    </w:rPr>
                    <w:t xml:space="preserve"> </w:t>
                  </w:r>
                  <w:sdt>
                    <w:sdtPr>
                      <w:rPr>
                        <w:rFonts w:cs="Times New Roman" w:hint="cs"/>
                        <w:rtl/>
                      </w:rPr>
                      <w:alias w:val="2242"/>
                      <w:tag w:val="2242"/>
                      <w:id w:val="358854881"/>
                    </w:sdtPr>
                    <w:sdtEndPr/>
                    <w:sdtContent>
                      <w:r w:rsidR="008910A6">
                        <w:rPr>
                          <w:rFonts w:ascii="David" w:hAnsi="David"/>
                          <w:rtl/>
                        </w:rPr>
                        <w:t>גרינברג</w:t>
                      </w:r>
                    </w:sdtContent>
                  </w:sdt>
                  <w:r w:rsidR="008910A6">
                    <w:rPr>
                      <w:rFonts w:ascii="David" w:hAnsi="David"/>
                      <w:rtl/>
                    </w:rPr>
                    <w:t xml:space="preserve">, </w:t>
                  </w:r>
                  <w:sdt>
                    <w:sdtPr>
                      <w:rPr>
                        <w:rFonts w:cs="Times New Roman" w:hint="cs"/>
                        <w:rtl/>
                      </w:rPr>
                      <w:alias w:val="2247"/>
                      <w:tag w:val="2247"/>
                      <w:id w:val="243227774"/>
                    </w:sdtPr>
                    <w:sdtEndPr/>
                    <w:sdtContent>
                      <w:r w:rsidR="008910A6">
                        <w:rPr>
                          <w:rFonts w:ascii="David" w:hAnsi="David"/>
                          <w:rtl/>
                        </w:rPr>
                        <w:t>שופטת</w:t>
                      </w:r>
                    </w:sdtContent>
                  </w:sdt>
                </w:p>
              </w:tc>
            </w:tr>
          </w:tbl>
          <w:p w:rsidR="008910A6" w:rsidRDefault="008910A6" w:rsidP="008910A6">
            <w:pPr>
              <w:spacing w:line="360" w:lineRule="auto"/>
              <w:jc w:val="both"/>
              <w:rPr>
                <w:rFonts w:asciiTheme="minorHAnsi" w:hAnsiTheme="minorHAnsi" w:cstheme="minorBidi"/>
                <w:sz w:val="22"/>
                <w:szCs w:val="22"/>
                <w:rtl/>
              </w:rPr>
            </w:pPr>
            <w:r>
              <w:rPr>
                <w:rtl/>
              </w:rPr>
              <w:t xml:space="preserve"> </w:t>
            </w:r>
          </w:p>
          <w:p w:rsidR="008910A6" w:rsidRDefault="008910A6" w:rsidP="008910A6">
            <w:pPr>
              <w:rPr>
                <w:sz w:val="28"/>
                <w:szCs w:val="28"/>
                <w:rtl/>
              </w:rPr>
            </w:pPr>
          </w:p>
          <w:p w:rsidR="008910A6" w:rsidRDefault="008910A6" w:rsidP="008910A6">
            <w:pPr>
              <w:jc w:val="center"/>
              <w:rPr>
                <w:rFonts w:ascii="Arial" w:hAnsi="Arial"/>
                <w:b/>
                <w:bCs/>
                <w:sz w:val="26"/>
                <w:szCs w:val="26"/>
                <w:rtl/>
              </w:rPr>
            </w:pPr>
          </w:p>
          <w:p w:rsidR="00694556" w:rsidRDefault="00694556">
            <w:pPr>
              <w:bidi w:val="0"/>
              <w:jc w:val="center"/>
              <w:rPr>
                <w:rFonts w:ascii="Arial" w:hAnsi="Arial"/>
                <w:b/>
                <w:bCs/>
                <w:noProof w:val="0"/>
                <w:sz w:val="28"/>
                <w:szCs w:val="28"/>
                <w:u w:val="single"/>
              </w:rPr>
            </w:pP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C94" w:rsidRDefault="00E04C94">
      <w:r>
        <w:separator/>
      </w:r>
    </w:p>
  </w:endnote>
  <w:endnote w:type="continuationSeparator" w:id="0">
    <w:p w:rsidR="00E04C94" w:rsidRDefault="00E0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0A6" w:rsidRDefault="008910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016073">
      <w:rPr>
        <w:rStyle w:val="ac"/>
        <w:rFonts w:ascii="David" w:hAnsi="David"/>
        <w:rtl/>
      </w:rPr>
      <w:t>2</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016073">
      <w:rPr>
        <w:rStyle w:val="ac"/>
        <w:rFonts w:ascii="David" w:hAnsi="David"/>
        <w:rtl/>
      </w:rPr>
      <w:t>9</w:t>
    </w:r>
    <w:r w:rsidRPr="00E765F7">
      <w:rPr>
        <w:rStyle w:val="ac"/>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0A6" w:rsidRDefault="008910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C94" w:rsidRDefault="00E04C94">
      <w:r>
        <w:separator/>
      </w:r>
    </w:p>
  </w:footnote>
  <w:footnote w:type="continuationSeparator" w:id="0">
    <w:p w:rsidR="00E04C94" w:rsidRDefault="00E0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0A6" w:rsidRDefault="008910A6">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E04C94" w:rsidP="008910A6">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8363-11-22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8910A6">
                <w:rPr>
                  <w:rFonts w:hint="cs"/>
                  <w:b/>
                  <w:bCs/>
                  <w:noProof w:val="0"/>
                  <w:sz w:val="26"/>
                  <w:szCs w:val="26"/>
                  <w:rtl/>
                </w:rPr>
                <w:t xml:space="preserve">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0A6" w:rsidRDefault="008910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83A01688"/>
    <w:lvl w:ilvl="0" w:tplc="800A5CAC">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4D2D6C2D"/>
    <w:multiLevelType w:val="hybridMultilevel"/>
    <w:tmpl w:val="E1761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152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15220&amp;lt;/CaseID&amp;gt;_x000d__x000a_        &amp;lt;CaseMonth&amp;gt;11&amp;lt;/CaseMonth&amp;gt;_x000d__x000a_        &amp;lt;CaseYear&amp;gt;2022&amp;lt;/CaseYear&amp;gt;_x000d__x000a_        &amp;lt;CaseNumber&amp;gt;8363&amp;lt;/CaseNumber&amp;gt;_x000d__x000a_        &amp;lt;NumeratorGroupID&amp;gt;1&amp;lt;/NumeratorGroupID&amp;gt;_x000d__x000a_        &amp;lt;CaseName&amp;gt;מדינת ישראל נ&amp;#39; נחמיאס(עציר)&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8363-11-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11-06T09:31: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יתן גזר דין. התיק ירד למזכירות הפליל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15220&amp;lt;/CaseID&amp;gt;_x000d__x000a_        &amp;lt;CaseMonth&amp;gt;11&amp;lt;/CaseMonth&amp;gt;_x000d__x000a_        &amp;lt;CaseYear&amp;gt;2022&amp;lt;/CaseYear&amp;gt;_x000d__x000a_        &amp;lt;CaseNumber&amp;gt;8363&amp;lt;/CaseNumber&amp;gt;_x000d__x000a_        &amp;lt;NumeratorGroupID&amp;gt;1&amp;lt;/NumeratorGroupID&amp;gt;_x000d__x000a_        &amp;lt;CaseName&amp;gt;מדינת ישראל נ&amp;#39; נחמיאס(עציר)&amp;lt;/CaseName&amp;gt;_x000d__x000a_        &amp;lt;CourtID&amp;gt;896&amp;lt;/CourtID&amp;gt;_x000d__x000a_        &amp;lt;CaseTypeID&amp;gt;10284&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true&amp;lt;/IsAppealingCaseExist&amp;gt;_x000d__x000a_        &amp;lt;CaseDisplayIdentifier&amp;gt;8363-11-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2-11-06T09:31:00+02: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ניתן גזר דין. התיק ירד למזכירות הפליל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25134&amp;lt;/DecisionID&amp;gt;_x000d__x000a_        &amp;lt;DecisionName&amp;gt;החלטה  שניתנה ע&amp;quot;י  עמי קובו&amp;lt;/DecisionName&amp;gt;_x000d__x000a_        &amp;lt;DecisionStatusID&amp;gt;1&amp;lt;/DecisionStatusID&amp;gt;_x000d__x000a_        &amp;lt;DecisionStatusChangeDate&amp;gt;2024-09-11T07:26:36.447+03:00&amp;lt;/DecisionStatusChangeDate&amp;gt;_x000d__x000a_        &amp;lt;DecisionSignatureDate&amp;gt;2024-09-11T07:26:35.01+03:00&amp;lt;/DecisionSignatureDate&amp;gt;_x000d__x000a_        &amp;lt;DecisionSignatureUserID&amp;gt;029737269@GOV.IL&amp;lt;/DecisionSignatureUserID&amp;gt;_x000d__x000a_        &amp;lt;DecisionCreateDate&amp;gt;2024-09-11T07:23:53.867+03:00&amp;lt;/DecisionCreateDate&amp;gt;_x000d__x000a_        &amp;lt;DecisionChangeDate&amp;gt;2024-09-11T07:26:36.583+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7977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amp;gt;_x000d__x000a_        &amp;lt;DecisionID&amp;gt;154825134&amp;lt;/DecisionID&amp;gt;_x000d__x000a_        &amp;lt;CaseID&amp;gt;79715220&amp;lt;/CaseID&amp;gt;_x000d__x000a_        &amp;lt;IsOriginal&amp;gt;true&amp;lt;/IsOriginal&amp;gt;_x000d__x000a_        &amp;lt;IsDeleted&amp;gt;false&amp;lt;/IsDeleted&amp;gt;_x000d__x000a_        &amp;lt;CaseName&amp;gt;מדינת ישראל נ&amp;#39; נחמיאס(עציר)&amp;lt;/CaseName&amp;gt;_x000d__x000a_        &amp;lt;CaseDisplayIdentifier&amp;gt;8363-11-22 תפח&amp;quot;ע&amp;lt;/CaseDisplayIdentifier&amp;gt;_x000d__x000a_      &amp;lt;/dt_DecisionCase&amp;gt;_x000d__x000a_      &amp;lt;dt_DecisionJudgePanel diffgr:id=&amp;quot;dt_DecisionJudgePanel1&amp;quot; msdata:rowOrder=&amp;quot;0&amp;quot;&amp;gt;_x000d__x000a_        &amp;lt;DecisionID&amp;gt;154825134&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825134&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825134&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825134"/>
    <w:docVar w:name="docID" w:val="454797702"/>
    <w:docVar w:name="judgeUPN" w:val="029737269@GOV.IL"/>
    <w:docVar w:name="NGCS.TemplateCaseInterestID" w:val="-1"/>
    <w:docVar w:name="NGCS.TemplateCaseTypeID" w:val="10284"/>
    <w:docVar w:name="NGCS.TemplateCourtID" w:val="896"/>
    <w:docVar w:name="NGCS.TemplateProceedingID" w:val="2"/>
    <w:docVar w:name="noteDocID" w:val="454797702"/>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16073"/>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655AC"/>
    <w:rsid w:val="005C0627"/>
    <w:rsid w:val="005F4F09"/>
    <w:rsid w:val="00601408"/>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0A6"/>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827D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04C94"/>
    <w:rsid w:val="00E1068A"/>
    <w:rsid w:val="00E25884"/>
    <w:rsid w:val="00E25B55"/>
    <w:rsid w:val="00E31C2B"/>
    <w:rsid w:val="00E5426A"/>
    <w:rsid w:val="00E54642"/>
    <w:rsid w:val="00E765F7"/>
    <w:rsid w:val="00E80CBE"/>
    <w:rsid w:val="00E9269D"/>
    <w:rsid w:val="00E962E3"/>
    <w:rsid w:val="00EB6C79"/>
    <w:rsid w:val="00EC0342"/>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Paragraph"/>
    <w:basedOn w:val="a0"/>
    <w:uiPriority w:val="34"/>
    <w:qFormat/>
    <w:rsid w:val="008910A6"/>
    <w:pPr>
      <w:ind w:left="720"/>
      <w:contextualSpacing/>
    </w:pPr>
    <w:rPr>
      <w:rFonts w:ascii="David" w:eastAsia="David" w:hAnsi="David"/>
      <w:noProof w:val="0"/>
    </w:rPr>
  </w:style>
  <w:style w:type="paragraph" w:customStyle="1" w:styleId="a">
    <w:name w:val="ממוספר"/>
    <w:basedOn w:val="a0"/>
    <w:rsid w:val="008910A6"/>
    <w:pPr>
      <w:numPr>
        <w:numId w:val="1"/>
      </w:numPr>
      <w:spacing w:after="120" w:line="360" w:lineRule="auto"/>
    </w:pPr>
    <w:rPr>
      <w:rFonts w:ascii="David" w:hAnsi="David"/>
      <w:noProof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05392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513D737F2004D38941D4B22E4C68E1B"/>
        <w:category>
          <w:name w:val="כללי"/>
          <w:gallery w:val="placeholder"/>
        </w:category>
        <w:types>
          <w:type w:val="bbPlcHdr"/>
        </w:types>
        <w:behaviors>
          <w:behavior w:val="content"/>
        </w:behaviors>
        <w:guid w:val="{888B2D21-A0C2-4B61-A228-726D4467D3A3}"/>
      </w:docPartPr>
      <w:docPartBody>
        <w:p w:rsidR="00A9108E" w:rsidRDefault="002925C2" w:rsidP="002925C2">
          <w:pPr>
            <w:pStyle w:val="6513D737F2004D38941D4B22E4C68E1B"/>
          </w:pPr>
          <w:r>
            <w:rPr>
              <w:rFonts w:ascii="Arial" w:hAnsi="Arial"/>
              <w:b/>
              <w:bCs/>
              <w:sz w:val="26"/>
              <w:szCs w:val="26"/>
              <w:rtl/>
            </w:rPr>
            <w:t>שם צד א' ללא שם של חסוי</w:t>
          </w:r>
        </w:p>
      </w:docPartBody>
    </w:docPart>
    <w:docPart>
      <w:docPartPr>
        <w:name w:val="EE5A443D05EC48A3B859D6B426B84C84"/>
        <w:category>
          <w:name w:val="כללי"/>
          <w:gallery w:val="placeholder"/>
        </w:category>
        <w:types>
          <w:type w:val="bbPlcHdr"/>
        </w:types>
        <w:behaviors>
          <w:behavior w:val="content"/>
        </w:behaviors>
        <w:guid w:val="{3AB94845-8441-499B-BEE1-0852F46765C0}"/>
      </w:docPartPr>
      <w:docPartBody>
        <w:p w:rsidR="00A9108E" w:rsidRDefault="002925C2" w:rsidP="002925C2">
          <w:pPr>
            <w:pStyle w:val="EE5A443D05EC48A3B859D6B426B84C84"/>
          </w:pPr>
          <w:r>
            <w:rPr>
              <w:rFonts w:ascii="Arial" w:hAnsi="Arial"/>
              <w:b/>
              <w:bCs/>
              <w:sz w:val="26"/>
              <w:szCs w:val="26"/>
              <w:rtl/>
            </w:rPr>
            <w:t>שם צד ב' ללא שם של חסוי</w:t>
          </w:r>
        </w:p>
      </w:docPartBody>
    </w:docPart>
    <w:docPart>
      <w:docPartPr>
        <w:name w:val="B834FF98471C4AAB8EC1E245554CAB03"/>
        <w:category>
          <w:name w:val="כללי"/>
          <w:gallery w:val="placeholder"/>
        </w:category>
        <w:types>
          <w:type w:val="bbPlcHdr"/>
        </w:types>
        <w:behaviors>
          <w:behavior w:val="content"/>
        </w:behaviors>
        <w:guid w:val="{AB9790CC-92E8-4B40-84B8-DE7336C8C946}"/>
      </w:docPartPr>
      <w:docPartBody>
        <w:p w:rsidR="00A9108E" w:rsidRDefault="002925C2" w:rsidP="002925C2">
          <w:pPr>
            <w:pStyle w:val="B834FF98471C4AAB8EC1E245554CAB03"/>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925C2"/>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9108E"/>
    <w:rsid w:val="00AA7CE3"/>
    <w:rsid w:val="00AB4352"/>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6513D737F2004D38941D4B22E4C68E1B">
    <w:name w:val="6513D737F2004D38941D4B22E4C68E1B"/>
    <w:rsid w:val="002925C2"/>
    <w:pPr>
      <w:bidi/>
      <w:spacing w:after="160" w:line="259" w:lineRule="auto"/>
    </w:pPr>
  </w:style>
  <w:style w:type="paragraph" w:customStyle="1" w:styleId="EE5A443D05EC48A3B859D6B426B84C84">
    <w:name w:val="EE5A443D05EC48A3B859D6B426B84C84"/>
    <w:rsid w:val="002925C2"/>
    <w:pPr>
      <w:bidi/>
      <w:spacing w:after="160" w:line="259" w:lineRule="auto"/>
    </w:pPr>
  </w:style>
  <w:style w:type="paragraph" w:customStyle="1" w:styleId="B834FF98471C4AAB8EC1E245554CAB03">
    <w:name w:val="B834FF98471C4AAB8EC1E245554CAB03"/>
    <w:rsid w:val="002925C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264149365</CasePartyID>
        <PartyTypeID>3</PartyTypeID>
        <ActivityStatusID>1</ActivityStatusID>
        <LegalEntityID>21034188</LegalEntityID>
        <CaseLegalEntityID>127120870</CaseLegalEntityID>
        <AssistantRoleID>14</AssistantRoleID>
        <AuthenticationTypeID>13</AuthenticationTypeID>
        <AuthenticationTypeName>משרדי ממשלה</AuthenticationTypeName>
        <LegalEntityNumber>570000779</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איילה נחמיאס</FullName>
        <FirstName>אילה</FirstName>
        <LastName>נחמיאס</LastName>
        <PartyPropertyName/>
        <AuthenticationTypeAndNumber>ת"ז 336974001</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277291309</CasePartyID>
        <PartyTypeID>3</PartyTypeID>
        <ActivityStatusID>1</ActivityStatusID>
        <LegalEntityID>82955498</LegalEntityID>
        <CaseLegalEntityID>132206681</CaseLegalEntityID>
        <AssistantRoleID>12</AssistantRoleID>
        <AuthenticationTypeID>1</AuthenticationTypeID>
        <AuthenticationTypeName>ת"ז</AuthenticationTypeName>
        <LegalEntityNumber>336974001</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משמרות </FullAddress>
        <MotionID>0</MotionID>
        <CasePleaID>0</CasePleaID>
        <FatherName>רז</FatherName>
        <LinkedCaseID>0</LinkedCaseID>
        <PartyID>1</PartyID>
        <CasePartyCategoryID>2</CasePartyCategoryID>
        <LegalEntityAddressID>90936032</LegalEntityAddressID>
        <PleaTypeID>8</PleaTypeID>
        <GroupPartyAlias/>
        <IsConverted>false</IsConverted>
        <LegalEntityRegisteredNameID>10886627</LegalEntityRegisteredNameID>
        <LegalEntityNameID>98192268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איילה נחמיאס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277291481</CasePartyID>
        <PartyTypeID>3</PartyTypeID>
        <ActivityStatusID>1</ActivityStatusID>
        <LegalEntityID>7566675</LegalEntityID>
        <CaseLegalEntityID>132206717</CaseLegalEntityID>
        <AssistantRoleID>24</AssistantRoleID>
        <AuthenticationTypeID>13</AuthenticationTypeID>
        <AuthenticationTypeName>משרדי ממשלה</AuthenticationTypeName>
        <LegalEntityNumber>520024695</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הרטום 8 הר חוצבים ירושלים </FullAddress>
        <EmailAddress>mgkidkon@eca.gov.il</EmailAddress>
        <MotionID>0</MotionID>
        <CasePleaID>0</CasePleaID>
        <LinkedCaseID>0</LinkedCaseID>
        <PartyID>1</PartyID>
        <CasePartyCategoryID>2</CasePartyCategoryID>
        <LegalEntityAddressID>82977301</LegalEntityAddressID>
        <LegalEntityEmailAddressID>68422632</LegalEntityEmailAddressID>
        <PleaTypeID>8</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277291861</CasePartyID>
        <PartyTypeID>3</PartyTypeID>
        <ActivityStatusID>1</ActivityStatusID>
        <LegalEntityID>74409308</LegalEntityID>
        <CaseLegalEntityID>132206814</CaseLegalEntityID>
        <AssistantRoleID>101</AssistantRoleID>
        <AuthenticationTypeID>13</AuthenticationTypeID>
        <AuthenticationTypeName>משרדי ממשלה</AuthenticationTypeName>
        <LegalEntityNumber>570001686</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שרית קוטלובסקי</FullName>
        <FirstName>שרית</FirstName>
        <LastName>קוטלובסקי</LastName>
        <PartyPropertyName/>
        <AuthenticationTypeAndNumber>מ.ר. 36145</AuthenticationTypeAndNumber>
        <RepresentatedOrRepresentativesNames>רז נחמיאס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247786069</CasePartyID>
        <PartyTypeID>2</PartyTypeID>
        <ActivityStatusID>1</ActivityStatusID>
        <PartyAliasID>32</PartyAliasID>
        <PartyAliasName>בא כוח נאשמים</PartyAliasName>
        <LegalEntityID>408589</LegalEntityID>
        <CaseLegalEntityID>121918707</CaseLegalEntityID>
        <AuthenticationTypeID>4</AuthenticationTypeID>
        <AuthenticationTypeName>מ.ר.</AuthenticationTypeName>
        <LegalEntityNumber>36145</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צורית 10 אבן יהודה </FullAddress>
        <EmailAddress>saritko@yahoo.com</EmailAddress>
        <MotionID>0</MotionID>
        <CasePleaID>0</CasePleaID>
        <LinkedCaseID>0</LinkedCaseID>
        <PartyID>2</PartyID>
        <CasePartyCategoryID>2</CasePartyCategoryID>
        <LegalEntityAddressID>86151169</LegalEntityAddressID>
        <LegalEntityEmailAddressID>68076709</LegalEntityEmailAddressID>
        <PleaTypeID>8</PleaTypeID>
        <LawyerOfficeName>משרד עו"ד: לוי-קוטלובסקי</LawyerOfficeName>
        <LawyerOfficeID>449233</LawyerOfficeID>
        <GroupPartyAlias/>
        <IsConverted>false</IsConverted>
        <LegalEntityNameID>29573</LegalEntityNameID>
        <RepresentatedNamesOfAssistant/>
        <LegalEntityTypeID>4</LegalEntityTypeID>
        <IsVerdictExists>false</IsVerdictExists>
        <IsAsirAzir>false</IsAsirAzir>
        <MainAndSecSpec/>
        <IsPublicationProhibited>false</IsPublicationProhibited>
        <PublicationProhibitedFullName>שרית קוטלובסקי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יובל זמר</FullName>
        <FirstName>יובל</FirstName>
        <LastName>זמר</LastName>
        <PartyPropertyName/>
        <AuthenticationTypeAndNumber>מ.ר. 33908</AuthenticationTypeAndNumber>
        <RepresentatedOrRepresentativesNames>רז נחמיאס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256709096</CasePartyID>
        <PartyTypeID>2</PartyTypeID>
        <ActivityStatusID>1</ActivityStatusID>
        <PartyAliasID>32</PartyAliasID>
        <PartyAliasName>בא כוח נאשמים</PartyAliasName>
        <LegalEntityID>411494</LegalEntityID>
        <CaseLegalEntityID>124670273</CaseLegalEntityID>
        <AuthenticationTypeID>4</AuthenticationTypeID>
        <AuthenticationTypeName>מ.ר.</AuthenticationTypeName>
        <LegalEntityNumber>33908</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פל-ים 16/3 חיפה שערי המשפט</FullAddress>
        <EmailAddress>zemeradv@gmail.com</EmailAddress>
        <MotionID>0</MotionID>
        <CasePleaID>0</CasePleaID>
        <FatherName xml:space="preserve">        </FatherName>
        <LinkedCaseID>0</LinkedCaseID>
        <PartyID>2</PartyID>
        <CasePartyCategoryID>2</CasePartyCategoryID>
        <LegalEntityAddressID>78321725</LegalEntityAddressID>
        <LegalEntityEmailAddressID>67899321</LegalEntityEmailAddressID>
        <PleaTypeID>8</PleaTypeID>
        <LawyerOfficeName>משרד עו"ד: יובל זמר</LawyerOfficeName>
        <LawyerOfficeID>452138</LawyerOfficeID>
        <GroupPartyAlias/>
        <IsConverted>false</IsConverted>
        <LegalEntityNameID>32478</LegalEntityNameID>
        <RepresentatedNamesOfAssistant/>
        <LegalEntityTypeID>4</LegalEntityTypeID>
        <IsVerdictExists>false</IsVerdictExists>
        <IsAsirAzir>false</IsAsirAzir>
        <MainAndSecSpec/>
        <IsPublicationProhibited>false</IsPublicationProhibited>
        <PublicationProhibitedFullName>יובל זמר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247453242</CasePartyID>
        <PartyTypeID>1</PartyTypeID>
        <ActivityStatusID>1</ActivityStatusID>
        <PartyAliasID>11</PartyAliasID>
        <PartyAliasName>מאשימה</PartyAliasName>
        <OrdinalNumber>1</OrdinalNumber>
        <LegalEntityID>4</LegalEntityID>
        <CaseLegalEntityID>121819430</CaseLegalEntityID>
        <AuthenticationTypeID>41</AuthenticationTypeID>
        <AuthenticationTypeName>מדינת ישראל </AuthenticationTypeName>
        <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247453243</CasePartyID>
        <PartyTypeID>2</PartyTypeID>
        <ActivityStatusID>1</ActivityStatusID>
        <PartyAliasID>30</PartyAliasID>
        <PartyAliasName>בא כוח מאשימה</PartyAliasName>
        <OrdinalNumber>1</OrdinalNumber>
        <LegalEntityID>398656</LegalEntityID>
        <CaseLegalEntityID>121819431</CaseLegalEntityID>
        <AuthenticationTypeID>4</AuthenticationTypeID>
        <AuthenticationTypeName>מ.ר.</AuthenticationTypeName>
        <LegalEntityNumber>19202</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רז נחמיאס (עציר)</FullName>
        <FirstName>רז</FirstName>
        <LastName>נחמיאס</LastName>
        <PartyPropertyID>6</PartyPropertyID>
        <PartyPropertyName/>
        <AuthenticationTypeAndNumber>ת"ז 024515389</AuthenticationTypeAndNumber>
        <RepresentatedOrRepresentativesNames>יובל זמר, שרית קוטלובסקי</RepresentatedOrRepresentativesNames>
        <RepresentatedOrRepresentativesCount>2</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247453244</CasePartyID>
        <PartyTypeID>1</PartyTypeID>
        <ActivityStatusID>1</ActivityStatusID>
        <PartyAliasID>13</PartyAliasID>
        <PartyAliasName>נאשם</PartyAliasName>
        <OrdinalNumber>1</OrdinalNumber>
        <LegalEntityID>15825353</LegalEntityID>
        <CaseLegalEntityID>121819432</CaseLegalEntityID>
        <AuthenticationTypeID>1</AuthenticationTypeID>
        <AuthenticationTypeName>ת"ז</AuthenticationTypeName>
        <LegalEntityNumber>024515389</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משמרות </FullAddress>
        <MotionID>0</MotionID>
        <CasePleaID>0</CasePleaID>
        <BirthDate>1969-10-22T00:00:00+02:00</BirthDate>
        <FatherName>יהודה</FatherName>
        <LinkedCaseID>0</LinkedCaseID>
        <PartyID>2</PartyID>
        <CasePartyCategoryID>2</CasePartyCategoryID>
        <LegalEntityAddressID>90936033</LegalEntityAddressID>
        <PleaTypeID>8</PleaTypeID>
        <GroupPartyAlias>נאשמים</GroupPartyAlias>
        <IsConverted>false</IsConverted>
        <LegalEntityRegisteredNameID>521331</LegalEntityRegisteredNameID>
        <LegalEntityNameID>93890417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רז נחמיאס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ג ג</FullName>
        <FirstName>ג</FirstName>
        <LastName>ג</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262684857</CasePartyID>
        <PartyTypeID>4</PartyTypeID>
        <ActivityStatusID>1</ActivityStatusID>
        <PartyAliasID>71</PartyAliasID>
        <PartyAliasName>עד מאשימה</PartyAliasName>
        <OrdinalNumber>2</OrdinalNumber>
        <LegalEntityID>81563345</LegalEntityID>
        <CaseLegalEntityID>126680241</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88626774</LegalEntityAddressID>
        <PleaTypeID>8</PleaTypeID>
        <GroupPartyAlias/>
        <IsConverted>false</IsConverted>
        <LegalEntityNameID>95738809</LegalEntityNameID>
        <RepresentatedNamesOfAssistant/>
        <LegalEntityTypeID>1</LegalEntityTypeID>
        <IsVerdictExists>false</IsVerdictExists>
        <IsAsirAzir>false</IsAsirAzir>
        <MainAndSecSpec/>
        <IsPublicationProhibited>false</IsPublicationProhibited>
        <PublicationProhibitedFullName>ג ג</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ד ד</FullName>
        <FirstName>ד</FirstName>
        <LastName>ד</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262685045</CasePartyID>
        <PartyTypeID>4</PartyTypeID>
        <ActivityStatusID>1</ActivityStatusID>
        <PartyAliasID>71</PartyAliasID>
        <PartyAliasName>עד מאשימה</PartyAliasName>
        <OrdinalNumber>3</OrdinalNumber>
        <LegalEntityID>81563362</LegalEntityID>
        <CaseLegalEntityID>126680297</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88626796</LegalEntityAddressID>
        <PleaTypeID>8</PleaTypeID>
        <GroupPartyAlias/>
        <IsConverted>false</IsConverted>
        <LegalEntityNameID>95738848</LegalEntityNameID>
        <RepresentatedNamesOfAssistant/>
        <LegalEntityTypeID>1</LegalEntityTypeID>
        <IsVerdictExists>false</IsVerdictExists>
        <IsAsirAzir>false</IsAsirAzir>
        <MainAndSecSpec/>
        <IsPublicationProhibited>false</IsPublicationProhibited>
        <PublicationProhibitedFullName>ד ד</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רס"מ שיר מכלוף</FullName>
        <FirstName>רס"מ שיר</FirstName>
        <LastName>מכלוף</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262684249</CasePartyID>
        <PartyTypeID>4</PartyTypeID>
        <ActivityStatusID>1</ActivityStatusID>
        <PartyAliasID>71</PartyAliasID>
        <PartyAliasName>עד מאשימה</PartyAliasName>
        <OrdinalNumber>4</OrdinalNumber>
        <LegalEntityID>81563326</LegalEntityID>
        <CaseLegalEntityID>126680090</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88626720</LegalEntityAddressID>
        <PleaTypeID>8</PleaTypeID>
        <GroupPartyAlias/>
        <IsConverted>false</IsConverted>
        <LegalEntityNameID>95738749</LegalEntityNameID>
        <RepresentatedNamesOfAssistant/>
        <LegalEntityTypeID>1</LegalEntityTypeID>
        <IsVerdictExists>false</IsVerdictExists>
        <IsAsirAzir>false</IsAsirAzir>
        <MainAndSecSpec/>
        <IsPublicationProhibited>false</IsPublicationProhibited>
        <PublicationProhibitedFullName>רס"מ שיר מכלוף</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רס"ב טינה מגן</FullName>
        <FirstName>רס"ב טינה</FirstName>
        <LastName>מגן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262684475</CasePartyID>
        <PartyTypeID>4</PartyTypeID>
        <ActivityStatusID>1</ActivityStatusID>
        <PartyAliasID>71</PartyAliasID>
        <PartyAliasName>עד מאשימה</PartyAliasName>
        <OrdinalNumber>5</OrdinalNumber>
        <LegalEntityID>81563331</LegalEntityID>
        <CaseLegalEntityID>126680137</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88626737</LegalEntityAddressID>
        <PleaTypeID>8</PleaTypeID>
        <GroupPartyAlias/>
        <IsConverted>false</IsConverted>
        <LegalEntityNameID>95738768</LegalEntityNameID>
        <RepresentatedNamesOfAssistant/>
        <LegalEntityTypeID>1</LegalEntityTypeID>
        <IsVerdictExists>false</IsVerdictExists>
        <IsAsirAzir>false</IsAsirAzir>
        <MainAndSecSpec/>
        <IsPublicationProhibited>false</IsPublicationProhibited>
        <PublicationProhibitedFullName>רס"ב טינה מגן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רס"ר קלוד גבריאל ווסרמן</FullName>
        <FirstName>רס"ר קלוד</FirstName>
        <LastName>גבריאל ווסרמן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262684646</CasePartyID>
        <PartyTypeID>4</PartyTypeID>
        <ActivityStatusID>1</ActivityStatusID>
        <PartyAliasID>71</PartyAliasID>
        <PartyAliasName>עד מאשימה</PartyAliasName>
        <OrdinalNumber>6</OrdinalNumber>
        <LegalEntityID>81563338</LegalEntityID>
        <CaseLegalEntityID>126680185</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88626752</LegalEntityAddressID>
        <PleaTypeID>8</PleaTypeID>
        <GroupPartyAlias/>
        <IsConverted>false</IsConverted>
        <LegalEntityNameID>95738788</LegalEntityNameID>
        <RepresentatedNamesOfAssistant/>
        <LegalEntityTypeID>1</LegalEntityTypeID>
        <IsVerdictExists>false</IsVerdictExists>
        <IsAsirAzir>false</IsAsirAzir>
        <MainAndSecSpec/>
        <IsPublicationProhibited>false</IsPublicationProhibited>
        <PublicationProhibitedFullName>רס"ר קלוד גבריאל ווסרמן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רס"ל מור ביטון</FullName>
        <FirstName>רס"ל מור</FirstName>
        <LastName>ביטון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262684747</CasePartyID>
        <PartyTypeID>4</PartyTypeID>
        <ActivityStatusID>1</ActivityStatusID>
        <PartyAliasID>71</PartyAliasID>
        <PartyAliasName>עד מאשימה</PartyAliasName>
        <OrdinalNumber>8</OrdinalNumber>
        <LegalEntityID>81563343</LegalEntityID>
        <CaseLegalEntityID>126680208</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88626761</LegalEntityAddressID>
        <PleaTypeID>8</PleaTypeID>
        <GroupPartyAlias/>
        <IsConverted>false</IsConverted>
        <LegalEntityNameID>95738797</LegalEntityNameID>
        <RepresentatedNamesOfAssistant/>
        <LegalEntityTypeID>1</LegalEntityTypeID>
        <IsVerdictExists>false</IsVerdictExists>
        <IsAsirAzir>false</IsAsirAzir>
        <MainAndSecSpec/>
        <IsPublicationProhibited>false</IsPublicationProhibited>
        <PublicationProhibitedFullName>רס"ל מור ביטון</PublicationProhibitedFullName>
      </CaseParties>
    </CasePartiesSelectionDS>
    <DecisionName>החלטה  שניתנה ע"י  עמי קובו</DecisionName>
    <CourtDisplayName>בית המשפט המחוזי מרכז-לוד</CourtDisplayName>
    <IsCaseJudgePanel>true</IsCaseJudgePanel>
    <DecisionSignatureDate>2024-09-11T07:18:30.8412576+03:00</DecisionSignatureDate>
    <OpenCaseDate>2022-11-06T09:31:00+02:00</OpenCaseDate>
    <ExternalCaseNumber>482008/2022</ExternalCaseNumber>
    <DecisionTypeID>1</DecisionTypeID>
    <DecisionSignatureUserName>עמי קובו</DecisionSignatureUserName>
    <DecisionSignatureDateHebrew>2024-09-11T07:18:30.8412576+03:00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נחמיאס(עציר)</CaseName>
    <DecisionNumberInCase>34</DecisionNumberInCase>
  </dt_Decision>
  <dt_DecisionCase>
    <DecisionID>0</DecisionID>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264149365</CasePartyID>
        <PartyTypeID>3</PartyTypeID>
        <ActivityStatusID>1</ActivityStatusID>
        <LegalEntityID>21034188</LegalEntityID>
        <CaseLegalEntityID>127120870</CaseLegalEntityID>
        <AssistantRoleID>14</AssistantRoleID>
        <AuthenticationTypeID>13</AuthenticationTypeID>
        <AuthenticationTypeName>משרדי ממשלה</AuthenticationTypeName>
        <LegalEntityNumber>570000779</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איילה נחמיאס</FullName>
        <FirstName>אילה</FirstName>
        <LastName>נחמיאס</LastName>
        <PartyPropertyName/>
        <AuthenticationTypeAndNumber>ת"ז 336974001</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277291309</CasePartyID>
        <PartyTypeID>3</PartyTypeID>
        <ActivityStatusID>1</ActivityStatusID>
        <LegalEntityID>82955498</LegalEntityID>
        <CaseLegalEntityID>132206681</CaseLegalEntityID>
        <AssistantRoleID>12</AssistantRoleID>
        <AuthenticationTypeID>1</AuthenticationTypeID>
        <AuthenticationTypeName>ת"ז</AuthenticationTypeName>
        <LegalEntityNumber>336974001</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משמרות </FullAddress>
        <MotionID>0</MotionID>
        <CasePleaID>0</CasePleaID>
        <FatherName>רז</FatherName>
        <LinkedCaseID>0</LinkedCaseID>
        <PartyID>1</PartyID>
        <CasePartyCategoryID>2</CasePartyCategoryID>
        <LegalEntityAddressID>90936032</LegalEntityAddressID>
        <PleaTypeID>8</PleaTypeID>
        <GroupPartyAlias/>
        <IsConverted>false</IsConverted>
        <LegalEntityRegisteredNameID>10886627</LegalEntityRegisteredNameID>
        <LegalEntityNameID>98192268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איילה נחמיאס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277291481</CasePartyID>
        <PartyTypeID>3</PartyTypeID>
        <ActivityStatusID>1</ActivityStatusID>
        <LegalEntityID>7566675</LegalEntityID>
        <CaseLegalEntityID>132206717</CaseLegalEntityID>
        <AssistantRoleID>24</AssistantRoleID>
        <AuthenticationTypeID>13</AuthenticationTypeID>
        <AuthenticationTypeName>משרדי ממשלה</AuthenticationTypeName>
        <LegalEntityNumber>520024695</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הרטום 8 הר חוצבים ירושלים </FullAddress>
        <EmailAddress>mgkidkon@eca.gov.il</EmailAddress>
        <MotionID>0</MotionID>
        <CasePleaID>0</CasePleaID>
        <LinkedCaseID>0</LinkedCaseID>
        <PartyID>1</PartyID>
        <CasePartyCategoryID>2</CasePartyCategoryID>
        <LegalEntityAddressID>82977301</LegalEntityAddressID>
        <LegalEntityEmailAddressID>68422632</LegalEntityEmailAddressID>
        <PleaTypeID>8</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277291861</CasePartyID>
        <PartyTypeID>3</PartyTypeID>
        <ActivityStatusID>1</ActivityStatusID>
        <LegalEntityID>74409308</LegalEntityID>
        <CaseLegalEntityID>132206814</CaseLegalEntityID>
        <AssistantRoleID>101</AssistantRoleID>
        <AuthenticationTypeID>13</AuthenticationTypeID>
        <AuthenticationTypeName>משרדי ממשלה</AuthenticationTypeName>
        <LegalEntityNumber>570001686</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שרית קוטלובסקי</FullName>
        <FirstName>שרית</FirstName>
        <LastName>קוטלובסקי</LastName>
        <PartyPropertyName/>
        <AuthenticationTypeAndNumber>מ.ר. 36145</AuthenticationTypeAndNumber>
        <RepresentatedOrRepresentativesNames>רז נחמיאס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247786069</CasePartyID>
        <PartyTypeID>2</PartyTypeID>
        <ActivityStatusID>1</ActivityStatusID>
        <PartyAliasID>32</PartyAliasID>
        <PartyAliasName>בא כוח נאשמים</PartyAliasName>
        <LegalEntityID>408589</LegalEntityID>
        <CaseLegalEntityID>121918707</CaseLegalEntityID>
        <AuthenticationTypeID>4</AuthenticationTypeID>
        <AuthenticationTypeName>מ.ר.</AuthenticationTypeName>
        <LegalEntityNumber>36145</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צורית 10 אבן יהודה </FullAddress>
        <EmailAddress>saritko@yahoo.com</EmailAddress>
        <MotionID>0</MotionID>
        <CasePleaID>0</CasePleaID>
        <LinkedCaseID>0</LinkedCaseID>
        <PartyID>2</PartyID>
        <CasePartyCategoryID>2</CasePartyCategoryID>
        <LegalEntityAddressID>86151169</LegalEntityAddressID>
        <LegalEntityEmailAddressID>68076709</LegalEntityEmailAddressID>
        <PleaTypeID>8</PleaTypeID>
        <LawyerOfficeName>משרד עו"ד: לוי-קוטלובסקי</LawyerOfficeName>
        <LawyerOfficeID>449233</LawyerOfficeID>
        <GroupPartyAlias/>
        <IsConverted>false</IsConverted>
        <LegalEntityNameID>29573</LegalEntityNameID>
        <RepresentatedNamesOfAssistant/>
        <LegalEntityTypeID>4</LegalEntityTypeID>
        <IsVerdictExists>false</IsVerdictExists>
        <IsAsirAzir>false</IsAsirAzir>
        <MainAndSecSpec/>
        <IsPublicationProhibited>false</IsPublicationProhibited>
        <PublicationProhibitedFullName>שרית קוטלובסקי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יובל זמר</FullName>
        <FirstName>יובל</FirstName>
        <LastName>זמר</LastName>
        <PartyPropertyName/>
        <AuthenticationTypeAndNumber>מ.ר. 33908</AuthenticationTypeAndNumber>
        <RepresentatedOrRepresentativesNames>רז נחמיאס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256709096</CasePartyID>
        <PartyTypeID>2</PartyTypeID>
        <ActivityStatusID>1</ActivityStatusID>
        <PartyAliasID>32</PartyAliasID>
        <PartyAliasName>בא כוח נאשמים</PartyAliasName>
        <LegalEntityID>411494</LegalEntityID>
        <CaseLegalEntityID>124670273</CaseLegalEntityID>
        <AuthenticationTypeID>4</AuthenticationTypeID>
        <AuthenticationTypeName>מ.ר.</AuthenticationTypeName>
        <LegalEntityNumber>33908</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פל-ים 16/3 חיפה שערי המשפט</FullAddress>
        <EmailAddress>zemeradv@gmail.com</EmailAddress>
        <MotionID>0</MotionID>
        <CasePleaID>0</CasePleaID>
        <FatherName xml:space="preserve">        </FatherName>
        <LinkedCaseID>0</LinkedCaseID>
        <PartyID>2</PartyID>
        <CasePartyCategoryID>2</CasePartyCategoryID>
        <LegalEntityAddressID>78321725</LegalEntityAddressID>
        <LegalEntityEmailAddressID>67899321</LegalEntityEmailAddressID>
        <PleaTypeID>8</PleaTypeID>
        <LawyerOfficeName>משרד עו"ד: יובל זמר</LawyerOfficeName>
        <LawyerOfficeID>452138</LawyerOfficeID>
        <GroupPartyAlias/>
        <IsConverted>false</IsConverted>
        <LegalEntityNameID>32478</LegalEntityNameID>
        <RepresentatedNamesOfAssistant/>
        <LegalEntityTypeID>4</LegalEntityTypeID>
        <IsVerdictExists>false</IsVerdictExists>
        <IsAsirAzir>false</IsAsirAzir>
        <MainAndSecSpec/>
        <IsPublicationProhibited>false</IsPublicationProhibited>
        <PublicationProhibitedFullName>יובל זמר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247453242</CasePartyID>
        <PartyTypeID>1</PartyTypeID>
        <ActivityStatusID>1</ActivityStatusID>
        <PartyAliasID>11</PartyAliasID>
        <PartyAliasName>מאשימה</PartyAliasName>
        <OrdinalNumber>1</OrdinalNumber>
        <LegalEntityID>4</LegalEntityID>
        <CaseLegalEntityID>121819430</CaseLegalEntityID>
        <AuthenticationTypeID>41</AuthenticationTypeID>
        <AuthenticationTypeName>מדינת ישראל </AuthenticationTypeName>
        <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247453243</CasePartyID>
        <PartyTypeID>2</PartyTypeID>
        <ActivityStatusID>1</ActivityStatusID>
        <PartyAliasID>30</PartyAliasID>
        <PartyAliasName>בא כוח מאשימה</PartyAliasName>
        <OrdinalNumber>1</OrdinalNumber>
        <LegalEntityID>398656</LegalEntityID>
        <CaseLegalEntityID>121819431</CaseLegalEntityID>
        <AuthenticationTypeID>4</AuthenticationTypeID>
        <AuthenticationTypeName>מ.ר.</AuthenticationTypeName>
        <LegalEntityNumber>19202</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רז נחמיאס (עציר)</FullName>
        <FirstName>רז</FirstName>
        <LastName>נחמיאס</LastName>
        <PartyPropertyID>6</PartyPropertyID>
        <PartyPropertyName/>
        <AuthenticationTypeAndNumber>ת"ז 024515389</AuthenticationTypeAndNumber>
        <RepresentatedOrRepresentativesNames>יובל זמר, שרית קוטלובסקי</RepresentatedOrRepresentativesNames>
        <RepresentatedOrRepresentativesCount>2</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247453244</CasePartyID>
        <PartyTypeID>1</PartyTypeID>
        <ActivityStatusID>1</ActivityStatusID>
        <PartyAliasID>13</PartyAliasID>
        <PartyAliasName>נאשם</PartyAliasName>
        <OrdinalNumber>1</OrdinalNumber>
        <LegalEntityID>15825353</LegalEntityID>
        <CaseLegalEntityID>121819432</CaseLegalEntityID>
        <AuthenticationTypeID>1</AuthenticationTypeID>
        <AuthenticationTypeName>ת"ז</AuthenticationTypeName>
        <LegalEntityNumber>024515389</LegalEntityNumber>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 משמרות </FullAddress>
        <MotionID>0</MotionID>
        <CasePleaID>0</CasePleaID>
        <BirthDate>1969-10-22T00:00:00+02:00</BirthDate>
        <FatherName>יהודה</FatherName>
        <LinkedCaseID>0</LinkedCaseID>
        <PartyID>2</PartyID>
        <CasePartyCategoryID>2</CasePartyCategoryID>
        <LegalEntityAddressID>90936033</LegalEntityAddressID>
        <PleaTypeID>8</PleaTypeID>
        <GroupPartyAlias>נאשמים</GroupPartyAlias>
        <IsConverted>false</IsConverted>
        <LegalEntityRegisteredNameID>521331</LegalEntityRegisteredNameID>
        <LegalEntityNameID>93890417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רז נחמיאס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ג ג</FullName>
        <FirstName>ג</FirstName>
        <LastName>ג</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262684857</CasePartyID>
        <PartyTypeID>4</PartyTypeID>
        <ActivityStatusID>1</ActivityStatusID>
        <PartyAliasID>71</PartyAliasID>
        <PartyAliasName>עד מאשימה</PartyAliasName>
        <OrdinalNumber>2</OrdinalNumber>
        <LegalEntityID>81563345</LegalEntityID>
        <CaseLegalEntityID>126680241</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88626774</LegalEntityAddressID>
        <PleaTypeID>8</PleaTypeID>
        <GroupPartyAlias/>
        <IsConverted>false</IsConverted>
        <LegalEntityNameID>95738809</LegalEntityNameID>
        <RepresentatedNamesOfAssistant/>
        <LegalEntityTypeID>1</LegalEntityTypeID>
        <IsVerdictExists>false</IsVerdictExists>
        <IsAsirAzir>false</IsAsirAzir>
        <MainAndSecSpec/>
        <IsPublicationProhibited>false</IsPublicationProhibited>
        <PublicationProhibitedFullName>ג ג</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ד ד</FullName>
        <FirstName>ד</FirstName>
        <LastName>ד</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262685045</CasePartyID>
        <PartyTypeID>4</PartyTypeID>
        <ActivityStatusID>1</ActivityStatusID>
        <PartyAliasID>71</PartyAliasID>
        <PartyAliasName>עד מאשימה</PartyAliasName>
        <OrdinalNumber>3</OrdinalNumber>
        <LegalEntityID>81563362</LegalEntityID>
        <CaseLegalEntityID>126680297</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88626796</LegalEntityAddressID>
        <PleaTypeID>8</PleaTypeID>
        <GroupPartyAlias/>
        <IsConverted>false</IsConverted>
        <LegalEntityNameID>95738848</LegalEntityNameID>
        <RepresentatedNamesOfAssistant/>
        <LegalEntityTypeID>1</LegalEntityTypeID>
        <IsVerdictExists>false</IsVerdictExists>
        <IsAsirAzir>false</IsAsirAzir>
        <MainAndSecSpec/>
        <IsPublicationProhibited>false</IsPublicationProhibited>
        <PublicationProhibitedFullName>ד ד</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רס"מ שיר מכלוף</FullName>
        <FirstName>רס"מ שיר</FirstName>
        <LastName>מכלוף</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262684249</CasePartyID>
        <PartyTypeID>4</PartyTypeID>
        <ActivityStatusID>1</ActivityStatusID>
        <PartyAliasID>71</PartyAliasID>
        <PartyAliasName>עד מאשימה</PartyAliasName>
        <OrdinalNumber>4</OrdinalNumber>
        <LegalEntityID>81563326</LegalEntityID>
        <CaseLegalEntityID>126680090</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88626720</LegalEntityAddressID>
        <PleaTypeID>8</PleaTypeID>
        <GroupPartyAlias/>
        <IsConverted>false</IsConverted>
        <LegalEntityNameID>95738749</LegalEntityNameID>
        <RepresentatedNamesOfAssistant/>
        <LegalEntityTypeID>1</LegalEntityTypeID>
        <IsVerdictExists>false</IsVerdictExists>
        <IsAsirAzir>false</IsAsirAzir>
        <MainAndSecSpec/>
        <IsPublicationProhibited>false</IsPublicationProhibited>
        <PublicationProhibitedFullName>רס"מ שיר מכלוף</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רס"ב טינה מגן</FullName>
        <FirstName>רס"ב טינה</FirstName>
        <LastName>מגן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262684475</CasePartyID>
        <PartyTypeID>4</PartyTypeID>
        <ActivityStatusID>1</ActivityStatusID>
        <PartyAliasID>71</PartyAliasID>
        <PartyAliasName>עד מאשימה</PartyAliasName>
        <OrdinalNumber>5</OrdinalNumber>
        <LegalEntityID>81563331</LegalEntityID>
        <CaseLegalEntityID>126680137</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88626737</LegalEntityAddressID>
        <PleaTypeID>8</PleaTypeID>
        <GroupPartyAlias/>
        <IsConverted>false</IsConverted>
        <LegalEntityNameID>95738768</LegalEntityNameID>
        <RepresentatedNamesOfAssistant/>
        <LegalEntityTypeID>1</LegalEntityTypeID>
        <IsVerdictExists>false</IsVerdictExists>
        <IsAsirAzir>false</IsAsirAzir>
        <MainAndSecSpec/>
        <IsPublicationProhibited>false</IsPublicationProhibited>
        <PublicationProhibitedFullName>רס"ב טינה מגן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רס"ר קלוד גבריאל ווסרמן</FullName>
        <FirstName>רס"ר קלוד</FirstName>
        <LastName>גבריאל ווסרמן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262684646</CasePartyID>
        <PartyTypeID>4</PartyTypeID>
        <ActivityStatusID>1</ActivityStatusID>
        <PartyAliasID>71</PartyAliasID>
        <PartyAliasName>עד מאשימה</PartyAliasName>
        <OrdinalNumber>6</OrdinalNumber>
        <LegalEntityID>81563338</LegalEntityID>
        <CaseLegalEntityID>126680185</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88626752</LegalEntityAddressID>
        <PleaTypeID>8</PleaTypeID>
        <GroupPartyAlias/>
        <IsConverted>false</IsConverted>
        <LegalEntityNameID>95738788</LegalEntityNameID>
        <RepresentatedNamesOfAssistant/>
        <LegalEntityTypeID>1</LegalEntityTypeID>
        <IsVerdictExists>false</IsVerdictExists>
        <IsAsirAzir>false</IsAsirAzir>
        <MainAndSecSpec/>
        <IsPublicationProhibited>false</IsPublicationProhibited>
        <PublicationProhibitedFullName>רס"ר קלוד גבריאל ווסרמן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רס"ל מור ביטון</FullName>
        <FirstName>רס"ל מור</FirstName>
        <LastName>ביטון</LastName>
        <PartyPropertyName/>
        <AuthenticationTypeAndNumber>ת"ז </AuthenticationTypeAndNumber>
        <RepresentatedOrRepresentativesNames/>
        <RepresentatedOrRepresentativesCount>0</RepresentatedOrRepresentativesCount>
        <InvitedBy/>
        <CaseID>79715220</CaseID>
        <CaseJudicialPersonPresentationDS>
          <CaseJudicalPersonActive>
            <CaseID>79715220</CaseID>
            <JudicialPersonID>029737269@GOV.IL</JudicialPersonID>
            <JudicialPersonTypeID>1</JudicialPersonTypeID>
            <JudicialTypeID>3</JudicialTypeID>
            <IsChairman>true</IsChairman>
            <TreatmentStartDate>2023-12-26T11:20:57.48+02:00</TreatmentStartDate>
            <TreatmentFinishDate>9999-12-31T23:59:59.997+02:00</TreatmentFinishDate>
            <IdentificationCardNumber>029737269</IdentificationCardNumber>
            <DisplayName>עמי קובו</DisplayName>
            <JudicialTypeName>הרכב שופטים</JudicialTypeName>
            <CaseJudicialGroupNumber>561700</CaseJudicialGroupNumber>
            <FirstName>עמי</FirstName>
            <LastName>קובו</LastName>
            <JudicialPersonTitle>שופט</JudicialPersonTitle>
          </CaseJudicalPersonActive>
          <CaseJudicalPersonActive>
            <CaseID>79715220</CaseID>
            <JudicialPersonID>028615656@GOV.IL</JudicialPersonID>
            <JudicialPersonTypeID>1</JudicialPersonTypeID>
            <JudicialTypeID>3</JudicialTypeID>
            <IsChairman>false</IsChairman>
            <TreatmentStartDate>2023-12-26T11:20:57.48+02:00</TreatmentStartDate>
            <TreatmentFinishDate>9999-12-31T23:59:59.997+02:00</TreatmentFinishDate>
            <IdentificationCardNumber>028615656</IdentificationCardNumber>
            <DisplayName>מיכאל קרשן</DisplayName>
            <JudicialTypeName>הרכב שופטים</JudicialTypeName>
            <CaseJudicialGroupNumber>561700</CaseJudicialGroupNumber>
            <FirstName>מיכאל</FirstName>
            <LastName>קרשן</LastName>
            <JudicialPersonTitle>שופט</JudicialPersonTitle>
          </CaseJudicalPersonActive>
          <CaseJudicalPersonActive>
            <CaseID>79715220</CaseID>
            <JudicialPersonID>027781319@GOV.IL</JudicialPersonID>
            <JudicialPersonTypeID>1</JudicialPersonTypeID>
            <JudicialTypeID>3</JudicialTypeID>
            <IsChairman>false</IsChairman>
            <TreatmentStartDate>2023-12-26T11:20:57.48+02:00</TreatmentStartDate>
            <TreatmentFinishDate>9999-12-31T23:59:59.997+02:00</TreatmentFinishDate>
            <IdentificationCardNumber>027781319</IdentificationCardNumber>
            <DisplayName>מרב גרינברג</DisplayName>
            <JudicialTypeName>הרכב שופטים</JudicialTypeName>
            <CaseJudicialGroupNumber>561700</CaseJudicialGroupNumber>
            <FirstName>מרב</FirstName>
            <LastName>גרינברג</LastName>
            <JudicialPersonTitle>שופט</JudicialPersonTitle>
          </CaseJudicalPersonActive>
        </CaseJudicialPersonPresentationDS>
        <CasePartyID>262684747</CasePartyID>
        <PartyTypeID>4</PartyTypeID>
        <ActivityStatusID>1</ActivityStatusID>
        <PartyAliasID>71</PartyAliasID>
        <PartyAliasName>עד מאשימה</PartyAliasName>
        <OrdinalNumber>8</OrdinalNumber>
        <LegalEntityID>81563343</LegalEntityID>
        <CaseLegalEntityID>126680208</CaseLegalEntityID>
        <AuthenticationTypeID>1</AuthenticationTypeID>
        <AuthenticationTypeName>ת"ז</AuthenticationTypeName>
        <IsMainPartyType>true</IsMainPartyType>
        <CaseDisplayIdentifier>8363-11-22</CaseDisplayIdentifier>
        <CaseTypeID>10284</CaseTypeID>
        <CaseTypeName>תיק פלילי פשע חמור עדות קטין נפגע עבירה (תפח"ע)</CaseTypeName>
        <CaseName>מדינת ישראל נ' נחמיאס(עציר)</CaseName>
        <FullAddress>ע"י המאשימה תל אביב -יפו .</FullAddress>
        <MotionID>0</MotionID>
        <CasePleaID>0</CasePleaID>
        <LinkedCaseID>0</LinkedCaseID>
        <PartyID>1</PartyID>
        <CasePartyCategoryID>2</CasePartyCategoryID>
        <LegalEntityAddressID>88626761</LegalEntityAddressID>
        <PleaTypeID>8</PleaTypeID>
        <GroupPartyAlias/>
        <IsConverted>false</IsConverted>
        <LegalEntityNameID>95738797</LegalEntityNameID>
        <RepresentatedNamesOfAssistant/>
        <LegalEntityTypeID>1</LegalEntityTypeID>
        <IsVerdictExists>false</IsVerdictExists>
        <IsAsirAzir>false</IsAsirAzir>
        <MainAndSecSpec/>
        <IsPublicationProhibited>false</IsPublicationProhibited>
        <PublicationProhibitedFullName>רס"ל מור ביטון</PublicationProhibitedFullName>
      </CaseParties>
    </CasePartiesSelectionDS>
    <CaseName>מדינת ישראל נ' נחמיאס(עציר)</CaseName>
    <CaseDisplayIdentifier>8363-11-22</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077-3181996</Fax>
    <PartyID>2</PartyID>
    <PartyTypeID>2</PartyTypeID>
    <DecisionID>0</DecisionID>
    <StreetName>צורית 10 </StreetName>
    <ZipCode>40500</ZipCode>
    <CityName>אבן יהודה</CityName>
    <FullName>שרית קוטלובסקי</FullName>
    <Email>saritko@yahoo.com</Email>
    <IsPublicationProhibited>false</IsPublicationProhibited>
  </dt_LegalEntityDetails>
  <dt_LegalEntityDetails>
    <Fax>04-8555322</Fax>
    <Phone>04-8522255</Phone>
    <AddressDesc>שערי המשפט</AddressDesc>
    <PartyID>2</PartyID>
    <PartyTypeID>2</PartyTypeID>
    <DecisionID>0</DecisionID>
    <StreetName>פל-ים 16/3</StreetName>
    <CityName>חיפה</CityName>
    <FullName>יובל זמר</FullName>
    <Email>zemeradv@gmail.com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
    <Phone/>
    <AddressDesc/>
    <PartyID>1</PartyID>
    <PartyTypeID>3</PartyTypeID>
    <DecisionID>0</DecisionID>
    <AssistantRoleID>12</AssistantRoleID>
    <StreetName>.</StreetName>
    <CityName>משמרות</CityName>
    <FullName>איילה נחמיאס </FullName>
    <Email/>
    <IsPublicationProhibited>false</IsPublicationProhibited>
  </dt_LegalEntityDetails>
  <dt_LegalEntityDetails>
    <Fax>02-6547711</Fax>
    <Phone>02-5084535</Phone>
    <AddressDesc/>
    <PartyID>1</PartyID>
    <PartyTypeID>3</PartyTypeID>
    <DecisionID>0</DecisionID>
    <AssistantRoleID>24</AssistantRoleID>
    <StreetName>הרטום 8 הר חוצבים </StreetName>
    <ZipCode>91451</ZipCode>
    <CityName>ירושלים</CityName>
    <FullName> המרכז לגביית קנסות אגרות והוצאות</FullName>
    <Email>mgkidkon@eca.gov.il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StreetName>
    <CityName>משמרות</CityName>
    <FullName>רז נחמיאס</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2024-09-10T14:00:00+03:00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DC76E-B35C-443B-9D02-98D1630A7E62}">
  <ds:schemaRefs/>
</ds:datastoreItem>
</file>

<file path=customXml/itemProps2.xml><?xml version="1.0" encoding="utf-8"?>
<ds:datastoreItem xmlns:ds="http://schemas.openxmlformats.org/officeDocument/2006/customXml" ds:itemID="{3A0E3C56-0F9F-4BDC-A91C-63ECCE74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2988</Words>
  <Characters>14940</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2024-09-16T10:52:00Z</dcterms:created>
  <dcterms:modified xsi:type="dcterms:W3CDTF">2024-09-16T10:52:00Z</dcterms:modified>
</cp:coreProperties>
</file>